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 pre-registrable selectivity threshold. Both come from a panel of 190 junction-spanning 16-mers tiled 5-6-5 across 38 in-frame junctions: 87 let a mature wild-type parent pair their whole catalytic gap over ten or more contiguous base pairs, and for 61 that parent is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design procedure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w:t>
      </w:r>
      <w:r>
        <w:rPr>
          <w:rStyle w:val="Emphasis"/>
        </w:rPr>
        <w:t>FUS</w:t>
      </w:r>
      <w:r>
        <w:rPr/>
        <w:t xml:space="preserve"> is a further reported partner, in two of five variant cases in a recent series[3], and supplies eight of the junctions modelled here. The disease responds poorly to conventional cytotoxic chemotherapy[4], though responses do occur[5], and a tyrosine-kinase inhibitor trialled in it gave disease control more often than response — a reading composed from the review's response categories[4] rather than from a figure stated in the trial report[6].</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oligonucleotide[7-12].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range[13];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recommendations[14]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xml:space="preserve"> were obtained from Ensembl[15]. Junction-spanning 16-mer gapmers were tiled in a 5-6-5 β-D-oxy-locked-nucleic-acid/DNA/β-D-oxy-locked-nucleic-acid geometry[13],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and screened identically: four shuffles of each design, two drawn base by base from uniform or composition-matched frequencies, and four chimeras of two real parent transcripts, two of them meeting at real exon termini. Melting temperatures are nearest-neighbour values for an unmodified DNA:RNA hybrid at 250 nM strand[16].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only before the hits are counted by gene: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 but six gene loci against five.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The genome-wide screen does not separate them: 156 hybridisable gap-paired sites against 135. It counts every position of GRCh38, most of it never transcribed, so the transcriptome contrast is not a difference the whole genome supports. All three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series[17], the two junctions account for 68.4% of molecularly confirmed cases in a 58-case cohort[18].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any count of designs called CLEAN by the alignment screen, and to those only — the parent, precursor and genome-wide screens below run over all 190 with no failures and no censoring. First, seven of the 190 alignment screens never returned, and that screen censors the rest, leaving 47 of 183 assessable for cleanliness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for 61 of the 87 that parent is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at the ten-base-pair criterion — two pairing no wild-type parent through the gap at any length, the third at eight base pairs against wild-type </w:t>
      </w:r>
      <w:r>
        <w:rPr>
          <w:rStyle w:val="Emphasis"/>
        </w:rPr>
        <w:t>NR4A3</w:t>
      </w:r>
      <w:r>
        <w:rPr/>
        <w:t xml:space="preserve">, below the criterion rather than absent. None is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series[19], and a </w:t>
      </w:r>
      <w:r>
        <w:rPr>
          <w:rStyle w:val="Emphasis"/>
        </w:rPr>
        <w:t>PGR</w:t>
      </w:r>
      <w:r>
        <w:rPr/>
        <w:t>::</w:t>
      </w:r>
      <w:r>
        <w:rPr>
          <w:rStyle w:val="Emphasis"/>
        </w:rPr>
        <w:t>NR4A3</w:t>
      </w:r>
      <w:r>
        <w:rPr/>
        <w:t xml:space="preserve"> case joins exon 2 to the </w:t>
      </w:r>
      <w:r>
        <w:rPr>
          <w:rStyle w:val="Emphasis"/>
        </w:rPr>
        <w:t>NR4A3</w:t>
      </w:r>
      <w:r>
        <w:rPr/>
        <w:t xml:space="preserve"> 5′ untranslated region[20]. Beyond exon 3 the position is the reverse: across the exon-resolved </w:t>
      </w:r>
      <w:r>
        <w:rPr>
          <w:rStyle w:val="Emphasis"/>
        </w:rPr>
        <w:t>NR4A3</w:t>
      </w:r>
      <w:r>
        <w:rPr/>
        <w:t xml:space="preserve"> junctions retrieved here every acceptor is exon 2, exon 3, or a cryptic exon in intron 2[21], none 3′ of exon 3, so nothing is designed there because no patient is reported there.</w:t>
      </w:r>
    </w:p>
    <w:p>
      <w:pPr>
        <w:pStyle w:val="BodyText"/>
        <w:bidi w:val="0"/>
        <w:rPr/>
      </w:pPr>
      <w:r>
        <w:rPr/>
        <w:t>Three are engineered constructs from a published functional study[21],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tumours[22],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factor[1,21].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of the two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partner[4].</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for 3.9% that parent is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tumour[23]. It is specified here for these reagents, with the two screened controls above; a knockdown assay alone separates none of the failure modes those controls exist to separate.</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Its form and the cut of 5.0 are adopted here as conventions, not from the framework's third step[14].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another transcript through its whole gap. For both reagents named here that transcript is wild-type </w:t>
      </w:r>
      <w:r>
        <w:rPr>
          <w:rStyle w:val="Emphasis"/>
        </w:rPr>
        <w:t>TFG</w:t>
      </w:r>
      <w:r>
        <w:rPr/>
        <w:t>, at eight and nine base pairs — a gene neither fusion involves, and one to read alongside the acceptor.</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here[9-11,24] were all made on molecules already synthesised; no survey of design pipelines was performed, so nothing here is a priority claim about when such a screen was first applied.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and what is new here is the indication.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Europe PMC or Crossref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doi:10.5281/zenodo.22182180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Chen X, X He, R Peng, M Chen and H Zhang. (2026). A series of extraskeletal myxoid chondrosarcomas with rare morphological and molecular variations. Histopathology 89:181–188. </w:t>
      </w:r>
      <w:hyperlink r:id="rId6">
        <w:r>
          <w:rPr>
            <w:rStyle w:val="Hyperlink"/>
          </w:rPr>
          <w:t>doi:10.1111/his.70131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7">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8">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9">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10">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1">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2">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3">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4">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5">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6">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7">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8">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9">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20">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1">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2">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3">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4">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5">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6">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value in the tables below is read from a committed artifact and none is typed by hand: the reagents from </w:t>
      </w:r>
      <w:r>
        <w:rPr>
          <w:rStyle w:val="SourceText"/>
        </w:rPr>
        <w:t>fusion-junction-aso-sequences.csv</w:t>
      </w:r>
      <w:r>
        <w:rPr>
          <w:rStyle w:val="Emphasis"/>
        </w:rPr>
        <w:t xml:space="preserve">, the canonical machine-readable record, and the controls from </w:t>
      </w:r>
      <w:r>
        <w:rPr>
          <w:rStyle w:val="SourceTextbrk"/>
        </w:rPr>
        <w:t>aso-control-oligos.json</w:t>
      </w:r>
      <w:r>
        <w:rPr>
          <w:rStyle w:val="Emphasis"/>
        </w:rPr>
        <w:t>, either directly or composed from their fields. The captions carry literature facts, each with its source named there.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w:t>
      </w:r>
      <w:r>
        <w:rPr/>
        <w:t xml:space="preserve"> The parent-duplex column is the longest contiguous duplex a mature wild-type parent forms through the catalytic gap; neither reagent reaches the ten-base-pair criterion, so the length is printed rather than a pass mark. The test articles are the engineered constructs of Brenca et al. (</w:t>
      </w:r>
      <w:hyperlink r:id="rId27">
        <w:r>
          <w:rPr>
            <w:rStyle w:val="Hyperlink"/>
          </w:rPr>
          <w:t>PMID: 31020999</w:t>
        </w:r>
      </w:hyperlink>
      <w:r>
        <w:rPr/>
        <w:t xml:space="preserve">) — E-N for the </w:t>
      </w:r>
      <w:r>
        <w:rPr>
          <w:rStyle w:val="Emphasis"/>
        </w:rPr>
        <w:t>EWSR1</w:t>
      </w:r>
      <w:r>
        <w:rPr/>
        <w:t xml:space="preserve"> reagent and T-N* for the </w:t>
      </w:r>
      <w:r>
        <w:rPr>
          <w:rStyle w:val="Emphasis"/>
        </w:rPr>
        <w:t>TAF15</w:t>
      </w:r>
      <w:r>
        <w:rPr/>
        <w:t xml:space="preserve"> reagent; the two patient-derived models of Bangerter et al. (</w:t>
      </w:r>
      <w:hyperlink r:id="rId28">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8930" w:type="dxa"/>
        <w:jc w:val="left"/>
        <w:tblInd w:w="0" w:type="dxa"/>
        <w:tblLayout w:type="fixed"/>
        <w:tblCellMar>
          <w:top w:w="28" w:type="dxa"/>
          <w:left w:w="28" w:type="dxa"/>
          <w:bottom w:w="28" w:type="dxa"/>
          <w:right w:w="28" w:type="dxa"/>
        </w:tblCellMar>
      </w:tblPr>
      <w:tblGrid>
        <w:gridCol w:w="2026"/>
        <w:gridCol w:w="2836"/>
        <w:gridCol w:w="751"/>
        <w:gridCol w:w="1861"/>
        <w:gridCol w:w="1456"/>
      </w:tblGrid>
      <w:tr>
        <w:trPr>
          <w:tblHeader w:val="true"/>
        </w:trPr>
        <w:tc>
          <w:tcPr>
            <w:tcW w:w="8930" w:type="dxa"/>
            <w:gridSpan w:val="5"/>
            <w:tcBorders/>
            <w:vAlign w:val="center"/>
          </w:tcPr>
          <w:p>
            <w:pPr>
              <w:pStyle w:val="TableHeading"/>
              <w:suppressLineNumbers/>
              <w:shd w:fill="EAEEF2" w:val="clear"/>
              <w:bidi w:val="0"/>
              <w:jc w:val="left"/>
              <w:rPr/>
            </w:pPr>
            <w:r>
              <w:rPr/>
              <w:t>Table 1</w:t>
            </w:r>
          </w:p>
        </w:tc>
      </w:tr>
      <w:tr>
        <w:trPr>
          <w:tblHeader w:val="true"/>
        </w:trPr>
        <w:tc>
          <w:tcPr>
            <w:tcW w:w="2026" w:type="dxa"/>
            <w:tcBorders/>
            <w:vAlign w:val="center"/>
          </w:tcPr>
          <w:p>
            <w:pPr>
              <w:pStyle w:val="TableHeading"/>
              <w:suppressLineNumbers/>
              <w:shd w:fill="EAEEF2" w:val="clear"/>
              <w:bidi w:val="0"/>
              <w:jc w:val="left"/>
              <w:rPr/>
            </w:pPr>
            <w:r>
              <w:rPr/>
              <w:t>seam</w:t>
            </w:r>
          </w:p>
        </w:tc>
        <w:tc>
          <w:tcPr>
            <w:tcW w:w="2836"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861" w:type="dxa"/>
            <w:tcBorders/>
            <w:vAlign w:val="center"/>
          </w:tcPr>
          <w:p>
            <w:pPr>
              <w:pStyle w:val="TableHeading"/>
              <w:suppressLineNumbers/>
              <w:shd w:fill="EAEEF2" w:val="clear"/>
              <w:bidi w:val="0"/>
              <w:jc w:val="left"/>
              <w:rPr/>
            </w:pPr>
            <w:r>
              <w:rPr/>
              <w:t>WT gap duplex (bp)</w:t>
            </w:r>
          </w:p>
        </w:tc>
        <w:tc>
          <w:tcPr>
            <w:tcW w:w="1456" w:type="dxa"/>
            <w:tcBorders/>
            <w:vAlign w:val="center"/>
          </w:tcPr>
          <w:p>
            <w:pPr>
              <w:pStyle w:val="TableHeading"/>
              <w:suppressLineNumbers/>
              <w:shd w:fill="EAEEF2" w:val="clear"/>
              <w:bidi w:val="0"/>
              <w:jc w:val="left"/>
              <w:rPr/>
            </w:pPr>
            <w:r>
              <w:rPr/>
              <w:t>ΔTm floor (°C)</w:t>
            </w:r>
          </w:p>
        </w:tc>
      </w:tr>
      <w:tr>
        <w:trPr/>
        <w:tc>
          <w:tcPr>
            <w:tcW w:w="2026"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8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26.6</w:t>
            </w:r>
          </w:p>
        </w:tc>
      </w:tr>
      <w:tr>
        <w:trPr/>
        <w:tc>
          <w:tcPr>
            <w:tcW w:w="2026"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836"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861" w:type="dxa"/>
            <w:tcBorders/>
            <w:vAlign w:val="center"/>
          </w:tcPr>
          <w:p>
            <w:pPr>
              <w:pStyle w:val="TableContents"/>
              <w:widowControl w:val="false"/>
              <w:suppressLineNumbers/>
              <w:bidi w:val="0"/>
              <w:jc w:val="left"/>
              <w:rPr/>
            </w:pPr>
            <w:r>
              <w:rPr/>
              <w:t xml:space="preserve">9 bp, wild-type </w:t>
            </w:r>
            <w:r>
              <w:rPr>
                <w:rStyle w:val="Emphasis"/>
              </w:rPr>
              <w:t>TFG</w:t>
            </w:r>
          </w:p>
        </w:tc>
        <w:tc>
          <w:tcPr>
            <w:tcW w:w="1456" w:type="dxa"/>
            <w:tcBorders/>
            <w:vAlign w:val="center"/>
          </w:tcPr>
          <w:p>
            <w:pPr>
              <w:pStyle w:val="TableContents"/>
              <w:widowControl w:val="false"/>
              <w:suppressLineNumbers/>
              <w:bidi w:val="0"/>
              <w:jc w:val="left"/>
              <w:rPr/>
            </w:pPr>
            <w:r>
              <w:rPr/>
              <w:t xml:space="preserve">≥ </w:t>
            </w:r>
            <w:r>
              <w:rPr/>
              <w:t>36.0</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9"/>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8218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111/his.70131" TargetMode="External"/><Relationship Id="rId7" Type="http://schemas.openxmlformats.org/officeDocument/2006/relationships/hyperlink" Target="https://doi.org/10.1007/s00432-025-06316-5" TargetMode="External"/><Relationship Id="rId8" Type="http://schemas.openxmlformats.org/officeDocument/2006/relationships/hyperlink" Target="https://doi.org/10.1186/2045-3329-3-16" TargetMode="External"/><Relationship Id="rId9" Type="http://schemas.openxmlformats.org/officeDocument/2006/relationships/hyperlink" Target="https://doi.org/10.1016/S1470-2045(19)30319-5" TargetMode="External"/><Relationship Id="rId10" Type="http://schemas.openxmlformats.org/officeDocument/2006/relationships/hyperlink" Target="https://doi.org/10.1023/a:1005716926800" TargetMode="External"/><Relationship Id="rId11" Type="http://schemas.openxmlformats.org/officeDocument/2006/relationships/hyperlink" Target="https://doi.org/10.1093/noajnl/vdaa132" TargetMode="External"/><Relationship Id="rId12" Type="http://schemas.openxmlformats.org/officeDocument/2006/relationships/hyperlink" Target="https://doi.org/10.1089/hum.2011.079" TargetMode="External"/><Relationship Id="rId13" Type="http://schemas.openxmlformats.org/officeDocument/2006/relationships/hyperlink" Target="https://doi.org/10.1158/1078-0432.ccr-12-2715" TargetMode="External"/><Relationship Id="rId14" Type="http://schemas.openxmlformats.org/officeDocument/2006/relationships/hyperlink" Target="https://doi.org/10.1016/j.ymthe.2023.11.012" TargetMode="External"/><Relationship Id="rId15" Type="http://schemas.openxmlformats.org/officeDocument/2006/relationships/hyperlink" Target="https://doi.org/10.1016/j.ddtec.2005.08.012" TargetMode="External"/><Relationship Id="rId16" Type="http://schemas.openxmlformats.org/officeDocument/2006/relationships/hyperlink" Target="https://doi.org/10.1089/nat.2024.0072" TargetMode="External"/><Relationship Id="rId17" Type="http://schemas.openxmlformats.org/officeDocument/2006/relationships/hyperlink" Target="https://doi.org/10.1093/nar/gkae1071" TargetMode="External"/><Relationship Id="rId18" Type="http://schemas.openxmlformats.org/officeDocument/2006/relationships/hyperlink" Target="https://doi.org/10.1021/bi00035a029" TargetMode="External"/><Relationship Id="rId19" Type="http://schemas.openxmlformats.org/officeDocument/2006/relationships/hyperlink" Target="https://doi.org/10.1002/gcc.10127" TargetMode="External"/><Relationship Id="rId20" Type="http://schemas.openxmlformats.org/officeDocument/2006/relationships/hyperlink" Target="https://doi.org/10.1016/j.modpat.2023.100161" TargetMode="External"/><Relationship Id="rId21" Type="http://schemas.openxmlformats.org/officeDocument/2006/relationships/hyperlink" Target="https://doi.org/10.3390/ijms19071855" TargetMode="External"/><Relationship Id="rId22" Type="http://schemas.openxmlformats.org/officeDocument/2006/relationships/hyperlink" Target="https://doi.org/10.1200/po.22.00039" TargetMode="External"/><Relationship Id="rId23" Type="http://schemas.openxmlformats.org/officeDocument/2006/relationships/hyperlink" Target="https://doi.org/10.1002/path.5284" TargetMode="External"/><Relationship Id="rId24" Type="http://schemas.openxmlformats.org/officeDocument/2006/relationships/hyperlink" Target="https://doi.org/10.1007/s13577-022-00818-x" TargetMode="External"/><Relationship Id="rId25" Type="http://schemas.openxmlformats.org/officeDocument/2006/relationships/hyperlink" Target="https://doi.org/10.3390/cancers15123127" TargetMode="External"/><Relationship Id="rId26" Type="http://schemas.openxmlformats.org/officeDocument/2006/relationships/hyperlink" Target="https://doi.org/10.4143/crt.2022.910" TargetMode="External"/><Relationship Id="rId27" Type="http://schemas.openxmlformats.org/officeDocument/2006/relationships/hyperlink" Target="https://pubmed.ncbi.nlm.nih.gov/31020999/" TargetMode="External"/><Relationship Id="rId28" Type="http://schemas.openxmlformats.org/officeDocument/2006/relationships/hyperlink" Target="https://pubmed.ncbi.nlm.nih.gov/36316541/" TargetMode="External"/><Relationship Id="rId29" Type="http://schemas.openxmlformats.org/officeDocument/2006/relationships/image" Target="media/image1.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