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Highlights</w:t>
      </w:r>
    </w:p>
    <w:p>
      <w:r>
        <w:rPr>
          <w:b w:val="0"/>
          <w:i w:val="0"/>
        </w:rPr>
        <w:t>Four sourced junctions produce in-frame NR4A3 reference fusion models.</w:t>
      </w:r>
    </w:p>
    <w:p>
      <w:r>
        <w:rPr>
          <w:b w:val="0"/>
          <w:i w:val="0"/>
        </w:rPr>
        <w:t>Transcript-level assembly reveals a 59-residue type-2 insertion.</w:t>
      </w:r>
    </w:p>
    <w:p>
      <w:r>
        <w:rPr>
          <w:b w:val="0"/>
          <w:i w:val="0"/>
        </w:rPr>
        <w:t>Retained RG content supports bounded predictions, not measured recruitment.</w:t>
      </w:r>
    </w:p>
    <w:p>
      <w:r>
        <w:rPr>
          <w:b w:val="0"/>
          <w:i w:val="0"/>
        </w:rPr>
        <w:t>TCF12 lies outside the FET compositional range on the evaluated grid.</w:t>
      </w:r>
    </w:p>
    <w:p>
      <w:r>
        <w:rPr>
          <w:b w:val="0"/>
          <w:i w:val="0"/>
        </w:rPr>
        <w:t>Patient junctions and ATR-inhibitor response remain unvalidated.</w:t>
      </w:r>
    </w:p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60" w:lineRule="auto"/>
      <w:outlineLvl w:val="0"/>
    </w:pPr>
    <w:rPr>
      <w:rFonts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outlineLvl w:val="2"/>
    </w:pPr>
    <w:rPr>
      <w:rFonts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60" w:lineRule="auto"/>
      <w:contextualSpacing/>
    </w:pPr>
    <w:rPr>
      <w:rFonts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subject/>
  <dc:creator>Tristan D. McRae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