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That parent liability is the one this work screens for directly.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avoid[22].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extended report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Ensembl[19]. Junction-spanning 16-mer gapmers were tiled in a 5-6-5 β-D-oxy-locked-nucleic-acid/DNA/β-D-oxy-locked-nucleic-acid geometry[20],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mitochondrial sequence included. Between them they cover mature transcript, unspliced precursor, exon-exon junction, non-coding and mitochondrial sequence — the search scope the 2025 recommendations ask for[22]. A near-match is a transcript window pairing a design at 14 or more of its 16 positions. Each alignment was re-scored on the nearest-neighbour stability of its longest contiguous paired run — the energy-based second stage those recommendations prescribe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strand[21].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so the cut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reported to retain knockdown at more extensively mismatched sites than a conventional design does[22],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series[12], the two junctions account for 68.4% of molecularly confirmed cases in a 58-case cohort[13].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3"/>
        <w:bidi w:val="0"/>
        <w:jc w:val="left"/>
        <w:rPr/>
      </w:pPr>
      <w:r>
        <w:rPr/>
        <w:t>Selection from a panel of 190 designs</w:t>
      </w:r>
    </w:p>
    <w:p>
      <w:pPr>
        <w:pStyle w:val="BodyText"/>
        <w:bidi w:val="0"/>
        <w:rPr/>
      </w:pPr>
      <w:r>
        <w:rPr/>
        <w:t>What this screen establishes is structural rather than statistical, and it does not depend on the cut: the parent liability the Introduction describes is invisible to the instrument a designer would ordinarily use at any threshold it is normally run at, which is the case for screening it directly whatever cut is adopted. The ten-base-pair criterion is adopted rather than measured.</w:t>
      </w:r>
    </w:p>
    <w:p>
      <w:pPr>
        <w:pStyle w:val="BodyText"/>
        <w:bidi w:val="0"/>
        <w:rPr/>
      </w:pPr>
      <w:r>
        <w:rPr/>
        <w:t>Two bounds apply to every panel count below: seven of the 190 screens never returned, and the alignment screen censors the rest, leaving 47 of 183 assessable at all, so a count of clean designs is a floor over that subset and not a total over the panel; and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extended report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series[23], and a </w:t>
      </w:r>
      <w:r>
        <w:rPr>
          <w:rStyle w:val="Emphasis"/>
        </w:rPr>
        <w:t>PGR</w:t>
      </w:r>
      <w:r>
        <w:rPr/>
        <w:t>::</w:t>
      </w:r>
      <w:r>
        <w:rPr>
          <w:rStyle w:val="Emphasis"/>
        </w:rPr>
        <w:t>NR4A3</w:t>
      </w:r>
      <w:r>
        <w:rPr/>
        <w:t xml:space="preserve"> case joins exon 2 to the </w:t>
      </w:r>
      <w:r>
        <w:rPr>
          <w:rStyle w:val="Emphasis"/>
        </w:rPr>
        <w:t>NR4A3</w:t>
      </w:r>
      <w:r>
        <w:rPr/>
        <w:t xml:space="preserve"> 5′ untranslated region[16]. Beyond exon 3 the position is the reverse: across the exon-resolved </w:t>
      </w:r>
      <w:r>
        <w:rPr>
          <w:rStyle w:val="Emphasis"/>
        </w:rPr>
        <w:t>NR4A3</w:t>
      </w:r>
      <w:r>
        <w:rPr/>
        <w:t xml:space="preserve"> junctions retrieved here every acceptor is exon 2, exon 3, or a cryptic exon in intron 2[14], none 3′ of exon 3, so nothing is designed there because no patient is reported there.</w:t>
      </w:r>
    </w:p>
    <w:p>
      <w:pPr>
        <w:pStyle w:val="BodyText"/>
        <w:bidi w:val="0"/>
        <w:rPr/>
      </w:pPr>
      <w:r>
        <w:rPr/>
        <w:t>Three are engineered constructs from a published functional study[14],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tumours[15],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factor[1,14].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 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so an unscreened one carries a one-in-ten chance of being a second active molecule offered as a negative control.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tumour[17]. It is specified here for these reagents, with three controls a knockdown assay alone cannot distinguish, two of them the screened scrambles above.</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 a comparison of the two half-maximal concentrations is the margin assessment the recommendations specify at this step, and they decline to set a default value for it[22].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and their counts may not be added because a design condemned in both is one design. A third compartment is searched only in the extended report: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here[8-10,18]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extended report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xml:space="preserve">. The extended report, carrying every screen's parameters and the complete bounds on each claim, is </w:t>
      </w:r>
      <w:r>
        <w:rPr>
          <w:rStyle w:val="SourceText"/>
        </w:rPr>
        <w:t>fusion-junction-aso-research-article.pdf</w:t>
      </w:r>
      <w:r>
        <w:rPr/>
        <w:t xml:space="preserve"> inside that deposit; it is not posted as a preprint, so the archived copy is the citable one.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4">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5">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16">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17">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18">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19">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M Sung, K Jung, ES Chang, J Choi, DY Oh, YK Jeon, et al. (2023). Cancer-Specific Sequences in the Diagnosis and Treatment of NUT Carcinoma. Cancer Res Treat 55:452–467. </w:t>
      </w:r>
      <w:hyperlink r:id="rId20">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21">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2">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23">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24">
        <w:r>
          <w:rPr>
            <w:rStyle w:val="Hyperlink"/>
          </w:rPr>
          <w:t>doi:10.1089/nat.2024.0072</w:t>
        </w:r>
      </w:hyperlink>
      <w:r>
        <w:rPr/>
        <w:t xml:space="preserve"> </w:t>
      </w:r>
    </w:p>
    <w:p>
      <w:pPr>
        <w:pStyle w:val="BodyText"/>
        <w:numPr>
          <w:ilvl w:val="0"/>
          <w:numId w:val="1"/>
        </w:numPr>
        <w:tabs>
          <w:tab w:val="clear" w:pos="709"/>
          <w:tab w:val="left" w:pos="709" w:leader="none"/>
        </w:tabs>
        <w:bidi w:val="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5">
        <w:r>
          <w:rPr>
            <w:rStyle w:val="Hyperlink"/>
          </w:rPr>
          <w:t>doi:10.3390/ijms19071855</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Section 5 gives why that screening step is what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02/gcc.10127" TargetMode="External"/><Relationship Id="rId15" Type="http://schemas.openxmlformats.org/officeDocument/2006/relationships/hyperlink" Target="https://doi.org/10.1016/j.modpat.2023.100161" TargetMode="External"/><Relationship Id="rId16" Type="http://schemas.openxmlformats.org/officeDocument/2006/relationships/hyperlink" Target="https://doi.org/10.1002/path.5284" TargetMode="External"/><Relationship Id="rId17" Type="http://schemas.openxmlformats.org/officeDocument/2006/relationships/hyperlink" Target="https://doi.org/10.1007/s13577-022-00818-x" TargetMode="External"/><Relationship Id="rId18" Type="http://schemas.openxmlformats.org/officeDocument/2006/relationships/hyperlink" Target="https://doi.org/10.1200/po.22.00039" TargetMode="External"/><Relationship Id="rId19" Type="http://schemas.openxmlformats.org/officeDocument/2006/relationships/hyperlink" Target="https://doi.org/10.3390/cancers15123127" TargetMode="External"/><Relationship Id="rId20" Type="http://schemas.openxmlformats.org/officeDocument/2006/relationships/hyperlink" Target="https://doi.org/10.4143/crt.2022.910" TargetMode="External"/><Relationship Id="rId21" Type="http://schemas.openxmlformats.org/officeDocument/2006/relationships/hyperlink" Target="https://doi.org/10.1093/nar/gkae1071" TargetMode="External"/><Relationship Id="rId22" Type="http://schemas.openxmlformats.org/officeDocument/2006/relationships/hyperlink" Target="https://doi.org/10.1016/j.ddtec.2005.08.012" TargetMode="External"/><Relationship Id="rId23" Type="http://schemas.openxmlformats.org/officeDocument/2006/relationships/hyperlink" Target="https://doi.org/10.1021/bi00035a029" TargetMode="External"/><Relationship Id="rId24" Type="http://schemas.openxmlformats.org/officeDocument/2006/relationships/hyperlink" Target="https://doi.org/10.1089/nat.2024.0072" TargetMode="External"/><Relationship Id="rId25" Type="http://schemas.openxmlformats.org/officeDocument/2006/relationships/hyperlink" Target="https://doi.org/10.3390/ijms19071855"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