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version"/>
        <w:bidi w:val="0"/>
        <w:jc w:val="left"/>
        <w:rPr/>
      </w:pPr>
      <w:r>
        <w:rPr/>
        <w:t>Figure legends for: In silico, nearly half of junction-spanning 5-6-5 gapmer designs across 38 modelled NR4A3 fusion junctions of five extraskeletal myxoid chondrosarcoma partner genes pair a wild-type parent gene over a ten-base-pair duplex through the catalytic gap, and, as an identity between base counts, a longer gap trades gap-level margin against parent-paired gap DNA</w:t>
      </w:r>
    </w:p>
    <w:p>
      <w:pPr>
        <w:pStyle w:val="Heading1"/>
        <w:bidi w:val="0"/>
        <w:jc w:val="left"/>
        <w:rPr/>
      </w:pPr>
      <w:r>
        <w:rPr/>
        <w:t>Figure legends</w:t>
      </w:r>
    </w:p>
    <w:p>
      <w:pPr>
        <w:pStyle w:val="BodyTextlegend"/>
        <w:bidi w:val="0"/>
        <w:jc w:val="left"/>
        <w:rPr/>
      </w:pPr>
      <w:r>
        <w:rPr>
          <w:rStyle w:val="Strong"/>
        </w:rPr>
        <w:t>Figure 1. Reading-frame compatibility across the NR4A3 fusion junction space.</w:t>
      </w:r>
      <w:r>
        <w:rPr/>
        <w:t xml:space="preserve"> All 231 donor-exon × acceptor-exon pairs across </w:t>
      </w:r>
      <w:r>
        <w:rPr>
          <w:rStyle w:val="Emphasis"/>
        </w:rPr>
        <w:t>EWSR1</w:t>
      </w:r>
      <w:r>
        <w:rPr/>
        <w:t xml:space="preserve">, </w:t>
      </w:r>
      <w:r>
        <w:rPr>
          <w:rStyle w:val="Emphasis"/>
        </w:rPr>
        <w:t>FUS</w:t>
      </w:r>
      <w:r>
        <w:rPr/>
        <w:t xml:space="preserve">, </w:t>
      </w:r>
      <w:r>
        <w:rPr>
          <w:rStyle w:val="Emphasis"/>
        </w:rPr>
        <w:t>TAF15</w:t>
      </w:r>
      <w:r>
        <w:rPr/>
        <w:t xml:space="preserve">, </w:t>
      </w:r>
      <w:r>
        <w:rPr>
          <w:rStyle w:val="Emphasis"/>
        </w:rPr>
        <w:t>TCF12</w:t>
      </w:r>
      <w:r>
        <w:rPr/>
        <w:t xml:space="preserve"> and </w:t>
      </w:r>
      <w:r>
        <w:rPr>
          <w:rStyle w:val="Emphasis"/>
        </w:rPr>
        <w:t>TFG</w:t>
      </w:r>
      <w:r>
        <w:rPr/>
        <w:t xml:space="preserve"> — named here in the order the panels draw them — graded against the frame condition. The grid is one grid, drawn as two side-by-side continuations to fit the page, so the three acceptor columns appear twice; a pair is not duplicated by appearing in the second block. Green marks the 38 frame-compatible pairs the panel is emitted at; the three refusal classes are greys, lightest to darkest: out of frame (39), acceptor exon carries no coding sequence (77), and acceptor outside the plausible resumption range (77). The panel repeats this key and these counts beside the grid, so it can be read without this caption. Rows are donor exons grouped by partner; columns are </w:t>
      </w:r>
      <w:r>
        <w:rPr>
          <w:rStyle w:val="Emphasis"/>
        </w:rPr>
        <w:t>NR4A3</w:t>
      </w:r>
      <w:r>
        <w:rPr/>
        <w:t xml:space="preserve"> acceptor exons 2 to 4, the declared acceptor window, and not all eight exons of the transcript — the 231 pairs are every donor exon against that window rather than against the whole gene. Two acceptor columns are refused in every pair for structural reasons, so the 38 in-frame junctions lie in a single column. The five partners are those for which transcript models are held here; </w:t>
      </w:r>
      <w:r>
        <w:rPr>
          <w:rStyle w:val="Emphasis"/>
        </w:rPr>
        <w:t>PGR</w:t>
      </w:r>
      <w:r>
        <w:rPr/>
        <w:t>, the sixth partner §2.6 reports a single seam at, is not modelled and has no row.</w:t>
      </w:r>
    </w:p>
    <w:p>
      <w:pPr>
        <w:pStyle w:val="BodyTextlegend"/>
        <w:bidi w:val="0"/>
        <w:ind w:hanging="0" w:left="0" w:right="0"/>
        <w:jc w:val="left"/>
        <w:rPr/>
      </w:pPr>
      <w:r>
        <w:rPr>
          <w:rStyle w:val="Strong"/>
        </w:rPr>
        <w:t>Figure 2. One 16-mer spans three partners' breakpoints.</w:t>
      </w:r>
      <w:r>
        <w:rPr/>
        <w:t xml:space="preserve"> The junction windows of </w:t>
      </w:r>
      <w:r>
        <w:rPr>
          <w:rStyle w:val="Emphasis"/>
        </w:rPr>
        <w:t>EWSR1</w:t>
      </w:r>
      <w:r>
        <w:rPr/>
        <w:t xml:space="preserve"> exon 12, </w:t>
      </w:r>
      <w:r>
        <w:rPr>
          <w:rStyle w:val="Emphasis"/>
        </w:rPr>
        <w:t>TAF15</w:t>
      </w:r>
      <w:r>
        <w:rPr/>
        <w:t xml:space="preserve"> exon 11 and </w:t>
      </w:r>
      <w:r>
        <w:rPr>
          <w:rStyle w:val="Emphasis"/>
        </w:rPr>
        <w:t>FUS</w:t>
      </w:r>
      <w:r>
        <w:rPr/>
        <w:t xml:space="preserve"> exon 10 joined to </w:t>
      </w:r>
      <w:r>
        <w:rPr>
          <w:rStyle w:val="Emphasis"/>
        </w:rPr>
        <w:t>NR4A3</w:t>
      </w:r>
      <w:r>
        <w:rPr/>
        <w:t xml:space="preserve"> exon 3, aligned at the breakpoint. Blue, donor exon; green, acceptor exon; positions at which the three donors differ are boxed as well as coloured, for greyscale and colour-blind readers. The shaded box is the target window of 5′-GGGCATATCATCAAAC-3′, with the 5-6-5 locked-nucleic-acid (LNA)/DNA/LNA gapmer architecture below it; the note beneath the panel gives its gap-level margin of three. The three donors are the FET family — </w:t>
      </w:r>
      <w:r>
        <w:rPr>
          <w:rStyle w:val="Emphasis"/>
        </w:rPr>
        <w:t>FUS</w:t>
      </w:r>
      <w:r>
        <w:rPr/>
        <w:t xml:space="preserve">, </w:t>
      </w:r>
      <w:r>
        <w:rPr>
          <w:rStyle w:val="Emphasis"/>
        </w:rPr>
        <w:t>EWSR1</w:t>
      </w:r>
      <w:r>
        <w:rPr/>
        <w:t xml:space="preserve"> and </w:t>
      </w:r>
      <w:r>
        <w:rPr>
          <w:rStyle w:val="Emphasis"/>
        </w:rPr>
        <w:t>TAF15</w:t>
      </w:r>
      <w:r>
        <w:rPr/>
        <w:t xml:space="preserve"> — and they are identical over the ten nucleotides before the breakpoint, which is what makes one oligonucleotide junction-spanning at all three junctions. Two of the three drawn junctions are not reported in any patient: the exon-resolved </w:t>
      </w:r>
      <w:r>
        <w:rPr>
          <w:rStyle w:val="Emphasis"/>
        </w:rPr>
        <w:t>TAF15</w:t>
      </w:r>
      <w:r>
        <w:rPr/>
        <w:t xml:space="preserve"> breakpoints in this disease are at exon 6 rather than exon 11, and no exon-resolved </w:t>
      </w:r>
      <w:r>
        <w:rPr>
          <w:rStyle w:val="Emphasis"/>
        </w:rPr>
        <w:t>FUS</w:t>
      </w:r>
      <w:r>
        <w:rPr/>
        <w:t xml:space="preserve"> breakpoint has been published at all (§2.2). This is a statement about sequence, not a claim that one reagent serves three patient groups. Coverage is predicted from sequence and has not been measured.</w:t>
      </w:r>
    </w:p>
    <w:p>
      <w:pPr>
        <w:pStyle w:val="BodyTextlegend"/>
        <w:bidi w:val="0"/>
        <w:ind w:hanging="0" w:left="0" w:right="0"/>
        <w:jc w:val="left"/>
        <w:rPr/>
      </w:pPr>
      <w:r>
        <w:rPr>
          <w:rStyle w:val="Strong"/>
        </w:rPr>
        <w:t>Figure 3. The margin a longer catalytic gap wins is the gap DNA a parent pairs at the design's own seam.</w:t>
      </w:r>
      <w:r>
        <w:rPr/>
        <w:t xml:space="preserve"> (A) The best-margin design at </w:t>
      </w:r>
      <w:r>
        <w:rPr>
          <w:rStyle w:val="Emphasis"/>
        </w:rPr>
        <w:t>EWSR1</w:t>
      </w:r>
      <w:r>
        <w:rPr/>
        <w:t xml:space="preserve"> exon 12 joined to </w:t>
      </w:r>
      <w:r>
        <w:rPr>
          <w:rStyle w:val="Emphasis"/>
        </w:rPr>
        <w:t>NR4A3</w:t>
      </w:r>
      <w:r>
        <w:rPr/>
        <w:t xml:space="preserve"> exon 3, drawn at 5-6-5, 5-8-5 and 5-10-5 with the wings held at five nucleotides. Every base inside the catalytic gap comes from the donor exon or from the acceptor exon, so the junction-unique bases on the shorter side and the bases one wild-type parent pairs on the longer side tile the gap and sum to it. (B) Every fusion-specific design in all three geometries, 798 over 38 junctions, plotted as gap-level margin (abscissa) against the contiguous run of gap DNA one of the design's OWN two parents pairs at its seam (ordinate). That is not the quantity the ⚑ markers and the do-not-order verdicts are set on. Those come from a SEARCH over all six mature parent transcripts, and the two separate: for the molecule drawn in (A) this figure draws 3 nucleotides where Tables 2, 3, 5 and 7 print an 8 bp duplex against wild-type </w:t>
      </w:r>
      <w:r>
        <w:rPr>
          <w:rStyle w:val="Emphasis"/>
        </w:rPr>
        <w:t>TFG</w:t>
      </w:r>
      <w:r>
        <w:rPr/>
        <w:t xml:space="preserve">. The two also move in opposite directions across the geometries — the searched duplex FALLS (181 of 190, then 130 of 266, then 87 of 342 pair a parent at any length) and is flat at the ten-base-pair criterion (87, 88, 87), while the quantity drawn here RISES (76 of 190, 228 of 266, 342 of 342). A longer gap concedes seam-level parent DNA; it does not concede more of the liability this paper condemns. In (A) red marks the gap bases contributed by the donor exon, green those contributed by </w:t>
      </w:r>
      <w:r>
        <w:rPr>
          <w:rStyle w:val="Emphasis"/>
        </w:rPr>
        <w:t>NR4A3</w:t>
      </w:r>
      <w:r>
        <w:rPr/>
        <w:t>, and pale grey the LNA wings, which are not cleaved; the shorter of the two coloured runs is the margin and the longer is what a wild-type parent can pair, so which colour is which depends on the register — the junction drawn here divides its gap evenly in all three geometries, and 76 of the 190 designs at 5-6-5 have the longer run on the donor side; in (B) the three geometries are blue (5-6-5), orange (5-8-5) and purple (5-10-5). Both panels repeat these keys beside the drawing. Marker area is the number of designs at that point and the label is that count; the three lines are drawn from the identity, not fitted, and it holds for each design individually rather than on average. Within one geometry the two move inversely along a line of slope −1, and both axes are drawn at the same scale (32 px per nucleotide) so that slope is true as plotted rather than only in the units; a geometry's ceiling on margin is half its gap rounded down, and clearing it means a longer gap and a higher parent-paired run at every register (§2.9, Table 7).</w:t>
      </w:r>
    </w:p>
    <w:p>
      <w:pPr>
        <w:pStyle w:val="BodyTextlegend"/>
        <w:bidi w:val="0"/>
        <w:spacing w:before="0" w:after="320"/>
        <w:jc w:val="left"/>
        <w:rPr/>
      </w:pPr>
      <w:r>
        <w:rPr>
          <w:rStyle w:val="Strong"/>
        </w:rPr>
        <w:t>Supplementary Figure S1. Transcriptome load per molecule against chance expectation.</w:t>
      </w:r>
      <w:r>
        <w:rPr/>
        <w:t xml:space="preserve"> Per molecule, not per design record: the 190 records are 176 distinct oligonucleotides and each is plotted once, so this series is 176 bars and not 190. Bars are green at or below the chance line and red above it, which is redundant with each bar's height against that line and carries no information of its own. Each bar is one distinct oligonucleotide's count of exact plus ≤1-mismatch matches over 186,185 transcripts, ranked. The 190 design records at real exon junctions collapse to 176 molecules, because nine of the 16-mers are junction-spanning at more than one partner's junction at once — five at three junctions and four at two — and each of those is one physical oligonucleotide, plotted once rather than repeatedly (marked). The line is the number of such matches expected for an arbitrary 16-mer under an independent-uniform-base null, 8.2, computed against the scan's measured 718,571,139-nucleotide span; 118 of the 176 fall at or below it and 58 exceed it. Ten further designs from modelled breakpoints not built from a spliced transcript model are excluded, and are released with the artefacts; four of those ten carry loads ABOVE the chance line, at 16 to 95 matches, so the excluded set is not a set of quiet designs and the panel understates the corpus rather than flattering it. Forty of the 176 return no match at all; their bars have zero height and so draw nothing, which is why the left of the panel reads as empty rather than as the start of the series. It is an expected count: the observed mean is 9.2, a ratio of 1.12, while the median is 3, so real transcript sequence produces a long right tail the null cannot rather than a uniform shift away from it. The line separates "more than chance" from "at chance" and is not a significance test; the counts are predictions from sequence search, not measured off-target activity.</w:t>
      </w:r>
    </w:p>
    <w:sectPr>
      <w:type w:val="nextPage"/>
      <w:pgSz w:w="11906" w:h="16838"/>
      <w:pgMar w:left="1417" w:right="1417" w:gutter="0" w:header="0" w:top="1417" w:footer="0" w:bottom="141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DejaVu Sans Mono">
    <w:altName w:val="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80"/>
    </w:pPr>
    <w:rPr>
      <w:rFonts w:ascii="Liberation Serif;Times New Roman;Times;serif" w:hAnsi="Liberation Serif;Times New Roman;Times;serif" w:eastAsia="Liberation Serif;Times New Roman;Times;serif" w:cs="Liberation Serif;Times New Roman;Times;serif"/>
      <w:color w:val="111111"/>
      <w:sz w:val="24"/>
      <w:szCs w:val="24"/>
      <w:lang w:val="en-US" w:eastAsia="zh-CN" w:bidi="hi-IN"/>
    </w:rPr>
  </w:style>
  <w:style w:type="paragraph" w:styleId="Heading1">
    <w:name w:val="Heading 1"/>
    <w:basedOn w:val="Heading"/>
    <w:next w:val="BodyText"/>
    <w:qFormat/>
    <w:pPr>
      <w:spacing w:lineRule="auto" w:line="300" w:before="240" w:after="280"/>
      <w:outlineLvl w:val="0"/>
    </w:pPr>
    <w:rPr>
      <w:rFonts w:ascii="Liberation Serif" w:hAnsi="Liberation Serif" w:eastAsia="WenQuanYi Zen Hei" w:cs="FreeSans"/>
      <w:b/>
      <w:bCs/>
      <w:sz w:val="28"/>
      <w:szCs w:val="28"/>
    </w:rPr>
  </w:style>
  <w:style w:type="paragraph" w:styleId="Heading2">
    <w:name w:val="Heading 2"/>
    <w:basedOn w:val="Heading"/>
    <w:next w:val="BodyText"/>
    <w:qFormat/>
    <w:pPr>
      <w:pBdr>
        <w:bottom w:val="single" w:sz="4" w:space="3" w:color="CCCCCC"/>
      </w:pBdr>
      <w:spacing w:before="400" w:after="120"/>
      <w:ind w:left="400" w:right="400"/>
      <w:outlineLvl w:val="1"/>
    </w:pPr>
    <w:rPr>
      <w:rFonts w:ascii="Liberation Serif" w:hAnsi="Liberation Serif" w:eastAsia="WenQuanYi Zen Hei" w:cs="FreeSans"/>
      <w:b/>
      <w:bCs/>
      <w:sz w:val="26"/>
      <w:szCs w:val="26"/>
    </w:rPr>
  </w:style>
  <w:style w:type="paragraph" w:styleId="Heading3">
    <w:name w:val="Heading 3"/>
    <w:basedOn w:val="Heading"/>
    <w:next w:val="BodyText"/>
    <w:qFormat/>
    <w:pPr>
      <w:spacing w:before="280" w:after="80"/>
      <w:ind w:left="280" w:right="280"/>
      <w:outlineLvl w:val="2"/>
    </w:pPr>
    <w:rPr>
      <w:rFonts w:ascii="Liberation Serif" w:hAnsi="Liberation Serif" w:eastAsia="WenQuanYi Zen Hei" w:cs="FreeSans"/>
      <w:b/>
      <w:bCs/>
      <w:sz w:val="22"/>
      <w:szCs w:val="22"/>
    </w:rPr>
  </w:style>
  <w:style w:type="character" w:styleId="SourceText">
    <w:name w:val="Source Text"/>
    <w:qFormat/>
    <w:rPr>
      <w:rFonts w:ascii="DejaVu Sans Mono;Consolas;monospace" w:hAnsi="DejaVu Sans Mono;Consolas;monospace" w:eastAsia="DejaVu Sans Mono;Consolas;monospace" w:cs="DejaVu Sans Mono;Consolas;monospace"/>
      <w:shd w:fill="F4F4F4" w:val="clear"/>
    </w:rPr>
  </w:style>
  <w:style w:type="character" w:styleId="SourceTextbrk">
    <w:name w:val="Source Text.brk"/>
    <w:basedOn w:val="SourceText"/>
    <w:qFormat/>
    <w:rPr/>
  </w:style>
  <w:style w:type="character" w:styleId="Strong">
    <w:name w:val="Strong"/>
    <w:qFormat/>
    <w:rPr>
      <w:b/>
      <w:bCs/>
    </w:rPr>
  </w:style>
  <w:style w:type="character" w:styleId="Emphasis">
    <w:name w:val="Emphasis"/>
    <w:qFormat/>
    <w:rPr>
      <w:i/>
      <w:iCs/>
    </w:rPr>
  </w:style>
  <w:style w:type="character" w:styleId="Hyperlink">
    <w:name w:val="Hyperlink"/>
    <w:rPr>
      <w:strike w:val="false"/>
      <w:dstrike w:val="false"/>
      <w:color w:val="14507D"/>
      <w:u w:val="none"/>
      <w:effect w:val="none"/>
    </w:rPr>
  </w:style>
  <w:style w:type="character" w:styleId="FollowedHyperlink">
    <w:name w:val="FollowedHyperlink"/>
    <w:rPr>
      <w:strike w:val="false"/>
      <w:dstrike w:val="false"/>
      <w:color w:val="14507D"/>
      <w:u w:val="none"/>
      <w:effect w:val="none"/>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widowControl/>
      <w:spacing w:lineRule="auto" w:line="276" w:before="0" w:after="160"/>
      <w:jc w:val="both"/>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spacing w:before="120" w:after="160"/>
      <w:ind w:hanging="0" w:left="120" w:right="120"/>
      <w:jc w:val="center"/>
    </w:pPr>
    <w:rPr/>
  </w:style>
  <w:style w:type="paragraph" w:styleId="PreformattedText">
    <w:name w:val="Preformatted Text"/>
    <w:basedOn w:val="Normal"/>
    <w:qFormat/>
    <w:pPr>
      <w:pBdr>
        <w:left w:val="single" w:sz="16" w:space="7" w:color="C8D2DC"/>
      </w:pBdr>
      <w:shd w:fill="F4F4F4" w:val="clear"/>
      <w:spacing w:lineRule="auto" w:line="324" w:before="0" w:after="160"/>
      <w:jc w:val="left"/>
    </w:pPr>
    <w:rPr>
      <w:rFonts w:ascii="DejaVu Sans Mono;Consolas;monospace" w:hAnsi="DejaVu Sans Mono;Consolas;monospace" w:eastAsia="DejaVu Sans Mono;Consolas;monospace" w:cs="DejaVu Sans Mono;Consolas;monospace"/>
      <w:sz w:val="20"/>
      <w:szCs w:val="20"/>
    </w:rPr>
  </w:style>
  <w:style w:type="paragraph" w:styleId="BodyTextlegend">
    <w:name w:val="Body Text.legend"/>
    <w:basedOn w:val="BodyText"/>
    <w:qFormat/>
    <w:pPr>
      <w:widowControl/>
      <w:spacing w:before="0" w:after="320"/>
      <w:jc w:val="left"/>
    </w:pPr>
    <w:rPr>
      <w:sz w:val="18"/>
      <w:szCs w:val="18"/>
    </w:rPr>
  </w:style>
  <w:style w:type="paragraph" w:styleId="BodyTextversion">
    <w:name w:val="Body Text.version"/>
    <w:basedOn w:val="BodyText"/>
    <w:qFormat/>
    <w:pPr>
      <w:spacing w:before="0" w:after="240"/>
      <w:ind w:left="0" w:right="0"/>
      <w:jc w:val="left"/>
    </w:pPr>
    <w:rPr>
      <w:color w:val="46545F"/>
      <w:sz w:val="17"/>
      <w:szCs w:val="17"/>
    </w:rPr>
  </w:style>
  <w:style w:type="paragraph" w:styleId="BodyTextsitrace">
    <w:name w:val="Body Text.sitrace"/>
    <w:basedOn w:val="BodyText"/>
    <w:qFormat/>
    <w:pPr>
      <w:spacing w:before="0" w:after="200"/>
      <w:jc w:val="left"/>
    </w:pPr>
    <w:rPr>
      <w:sz w:val="18"/>
      <w:szCs w:val="18"/>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EAEEF2"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 silico, nearly half of junction-spanning 5-6-5 gapmer designs across 38 modelled NR4A3 fusion junctions of five extraskeletal myxoid chondrosarcoma partner genes pair a wild-type parent gene over a ten-base-pair duplex through the catalytic gap, and, as an identity between base counts, a longer gap trades gap-level margin against parent-paired gap DNA — figure legends</dc:title>
</cp:coreProperties>
</file>

<file path=docProps/custom.xml><?xml version="1.0" encoding="utf-8"?>
<Properties xmlns="http://schemas.openxmlformats.org/officeDocument/2006/custom-properties" xmlns:vt="http://schemas.openxmlformats.org/officeDocument/2006/docPropsVTypes"/>
</file>