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Cancer Genetics cover letter</w:t>
      </w:r>
    </w:p>
    <w:p>
      <w:r>
        <w:t>Dear Editors,</w:t>
      </w:r>
    </w:p>
    <w:p>
      <w:r>
        <w:t>Please consider “CSPG4 tissue RNA enrichment in extraskeletal myxoid chondrosarcoma depends on comparator and sequencing year” as an Original Research Article in Cancer Genetics.</w:t>
      </w:r>
    </w:p>
    <w:p>
      <w:r>
        <w:t>This secondary analysis characterizes a fixed 11-gene panel using publicly released tissue RNA measurements. Nine primary EMC specimens provide marginal contrasts; only four unique EMC patients contribute to the three sequencing-year-matched comparisons. Original GSE24369 arrays provide a separate same-histology comparison. CSPG4 alone meets the frozen allocation rule, while removing sequencing-year 2019 reverses the matched composite and comparison with dermatofibrosarcoma protuberans (DFSP) is nonpositive. The contribution is a reproducible account of comparator-dependent molecular evidence and a specific question for tissue localization, without a claim of validated protein expression or clinical utility.</w:t>
      </w:r>
    </w:p>
    <w:p>
      <w:r>
        <w:t xml:space="preserve">The manuscript is relevant to comparative molecular characterization of cancer. It reports all panel results and retains sparse-stratum uncertainty, incomplete historical independence and normal-expression limitations. The full source/code archive, frozen protocols and effect tables are publicly available with Research Square version 1 at </w:t>
      </w:r>
      <w:hyperlink r:id="rId10">
        <w:r>
          <w:rPr>
            <w:color w:val="000000"/>
            <w:sz w:val="18"/>
          </w:rPr>
          <w:t>https://doi.org/10.21203/rs.3.rs-10959636/v1</w:t>
        </w:r>
      </w:hyperlink>
      <w:r>
        <w:t>.</w:t>
      </w:r>
      <w:r>
        <w:t xml:space="preserve"> The earlier aiXiv posting is </w:t>
      </w:r>
      <w:hyperlink r:id="rId11">
        <w:r>
          <w:rPr>
            <w:color w:val="000000"/>
            <w:sz w:val="18"/>
          </w:rPr>
          <w:t>https://aixiv.science/abs/aixiv.260907.000003</w:t>
        </w:r>
      </w:hyperlink>
      <w:r>
        <w:t>.</w:t>
      </w:r>
      <w:r>
        <w:t xml:space="preserve"> This journal-tailored revision retains the analyses and scientific figures and improves presentation, references and data links.</w:t>
      </w:r>
    </w:p>
    <w:p>
      <w:r>
        <w:t>The research received no funding, and the author declares no competing interests. It reanalyzes public data and reports no new participant recruitment, specimens, intervention or laboratory experiment; it asserts no new ethics approval, exemption or waiver. OpenAI Codex assistance with code, computation, verification and drafting is disclosed in the manuscript. The author is responsible for its final interpretation.</w:t>
      </w:r>
    </w:p>
    <w:p>
      <w:r>
        <w:t>The requested publication route is standard subscription, with online-only color and no optional open-access or accelerated service.</w:t>
      </w:r>
    </w:p>
    <w:p>
      <w:r>
        <w:t>Sincerely,</w:t>
      </w:r>
    </w:p>
    <w:p>
      <w:r>
        <w:t>Tristan D. McRae</w:t>
      </w:r>
    </w:p>
    <w:p>
      <w:r>
        <w:t>Independent researcher, unaffiliated</w:t>
      </w:r>
    </w:p>
    <w:p>
      <w:r>
        <w:t>trimcrae@gmail.com</w:t>
      </w:r>
    </w:p>
    <w:p>
      <w:r>
        <w:t>ORCID 0000-0002-1823-1451</w:t>
      </w:r>
    </w:p>
    <w:sectPr w:rsidR="00FC693F" w:rsidRPr="0006063C" w:rsidSect="00034616">
      <w:footerReference w:type="default" r:id="rId9"/>
      <w:pgSz w:w="11909" w:h="16834"/>
      <w:pgMar w:top="1152" w:right="1152" w:bottom="1152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="Times New Roman" w:hAnsi="Times New Roman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="Times New Roman" w:hAnsi="Times New Roman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200"/>
      <w:contextualSpacing/>
    </w:pPr>
    <w:rPr>
      <w:rFonts w:ascii="Times New Roman" w:hAnsi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i.org/10.21203/rs.3.rs-10959636/v1" TargetMode="External"/><Relationship Id="rId11" Type="http://schemas.openxmlformats.org/officeDocument/2006/relationships/hyperlink" Target="https://aixiv.science/abs/aixiv.260907.00000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Cancer Genetics cover letter</dc:title>
  <dc:subject>Computational tissue RNA study prepared for Cancer Genetics</dc:subject>
  <dc:creator>Tristan D. McRae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