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fusion to </w:t>
      </w:r>
      <w:r>
        <w:rPr>
          <w:rStyle w:val="Emphasis"/>
        </w:rPr>
        <w:t>NR4A3</w:t>
      </w:r>
      <w:r>
        <w:rPr/>
        <w:t xml:space="preserve">. That junction is in no normal transcript, so an antisense gapmer could in principle cleave the fusion and spare its parents; none is reported for any </w:t>
      </w:r>
      <w:r>
        <w:rPr>
          <w:rStyle w:val="Emphasis"/>
        </w:rPr>
        <w:t>NR4A3</w:t>
      </w:r>
      <w:r>
        <w:rPr/>
        <w:t xml:space="preserve"> fusion. This work is computational;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acceptor renumbered.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each parent supplies about half of any junction design, which is far outside the mismatch budget of a conventional off-target search, so that search cannot return a parent as a near-match at any threshold it is normally run at. The liability is therefore invisible to the instrument a designer would ordinarily use,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and it favours the reagents named here.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a donor joined to its first coding exon does, and that exon is transcript exon 3, the acceptor this panel is tiled at. On the coding-exon reading, therefore, the two cell models carry the junctions the reagents above span. This is an inference and not a determination: a 5′-untranslated acceptor is reported in this disease at least once, in a </w:t>
      </w:r>
      <w:r>
        <w:rPr>
          <w:rStyle w:val="Emphasis"/>
        </w:rPr>
        <w:t>PGR</w:t>
      </w:r>
      <w:r>
        <w:rPr/>
        <w:t>::</w:t>
      </w:r>
      <w:r>
        <w:rPr>
          <w:rStyle w:val="Emphasis"/>
        </w:rPr>
        <w:t>NR4A3</w:t>
      </w:r>
      <w:r>
        <w:rPr/>
        <w:t xml:space="preserve"> case,</w:t>
      </w:r>
      <w:r>
        <w:rPr>
          <w:position w:val="7"/>
          <w:sz w:val="17"/>
        </w:rPr>
        <w:t>16</w:t>
      </w:r>
      <w:r>
        <w:rPr/>
        <w:t xml:space="preserve"> and the requirement below is unchanged.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The extended report specifies it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for these reagents; only the fusion-versus-parent separation is, and as a floor, because the fusion duplex pairs all ten locked residues where each parent half-duplex pairs five, by construction for every design here.</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