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 pre-registrable selectivity threshold. Both come from a panel of 190 junction-spanning 16-mers tiled 5-6-5 across 38 in-frame junctions: 87 let a mature wild-type parent pair their whole catalytic gap over ten or more contiguous base pairs, and for 61 that parent is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design procedure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recommendations[13]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The genome-wide screen does not separate them: 156 hybridisable gap-paired sites for the </w:t>
      </w:r>
      <w:r>
        <w:rPr>
          <w:rStyle w:val="Emphasis"/>
        </w:rPr>
        <w:t>EWSR1</w:t>
      </w:r>
      <w:r>
        <w:rPr/>
        <w:t xml:space="preserve"> reagent against 135 for the </w:t>
      </w:r>
      <w:r>
        <w:rPr>
          <w:rStyle w:val="Emphasis"/>
        </w:rPr>
        <w:t>TAF15</w:t>
      </w:r>
      <w:r>
        <w:rPr/>
        <w:t xml:space="preserve"> one. That screen counts every position of GRCh38, most of it never transcribed, so it is the less informative of the two for a reagent whose substrate is RNA — but it is the broader corpus, and the transcriptome contrast should not be read as a difference the whole genome supports. All three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that parent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of the two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that parent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Its form and the cut are adopted here, not from the framework's third step[13].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doi:10.5281/zenodo.22166420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6642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