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That junction is in no normal transcript, so an antisense gapmer could in principle cleave it, sparing its parents; none is reported for any </w:t>
      </w:r>
      <w:r>
        <w:rPr>
          <w:rStyle w:val="Emphasis"/>
        </w:rPr>
        <w:t>NR4A3</w:t>
      </w:r>
      <w:r>
        <w:rPr/>
        <w:t xml:space="preserve"> fusion in the literature retrieved here. This work is computational, executing an industry off-target framework's in-silico step; every sequence named is a research reagent not for administration. It sets out what a laboratory needs: two reagents at the most 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two screened controls; and a pre-registrable selectivity threshold. Both come from a panel of 190 junction-spanning 16-mers tiled at 5-6-5 across 38 in-frame junctions: 87 let a mature wild-type parent pair their whole catalytic gap over ten or more contiguous base pairs, 61 against wild-type </w:t>
      </w:r>
      <w:r>
        <w:rPr>
          <w:rStyle w:val="Emphasis"/>
        </w:rPr>
        <w:t>NR4A3</w:t>
      </w:r>
      <w:r>
        <w:rPr/>
        <w:t xml:space="preserve"> itself.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The procedure producing them is released.</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Introduction</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 xml:space="preserve">[1],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rare[2]. The disease responds poorly to conventional cytotoxic chemotherapy[3], though responses do occur[4], and a tyrosine-kinase inhibitor trialled in it gave disease control more often than response — a reading composed from the review's response categories[3] rather than from a figure stated in the trial report[5].</w:t>
      </w:r>
    </w:p>
    <w:p>
      <w:pPr>
        <w:pStyle w:val="BodyText"/>
        <w:bidi w:val="0"/>
        <w:rPr/>
      </w:pPr>
      <w:r>
        <w:rPr/>
        <w:t xml:space="preserve">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have a thirty-five-year lineage, reported against at least six fusion oncogenes: two as antisense oligonucleotides, the rest as RNA-interference agents, one of those from a lentiviral vector rather than an administered oligonucleotide[6-11]. No such design is reported for any </w:t>
      </w:r>
      <w:r>
        <w:rPr>
          <w:rStyle w:val="Emphasis"/>
        </w:rPr>
        <w:t>NR4A3</w:t>
      </w:r>
      <w:r>
        <w:rPr/>
        <w:t xml:space="preserve"> fusion in the literature retrieved here.</w:t>
      </w:r>
    </w:p>
    <w:p>
      <w:pPr>
        <w:pStyle w:val="BodyText"/>
        <w:bidi w:val="0"/>
        <w:rPr/>
      </w:pPr>
      <w:r>
        <w:rPr/>
        <w:t>What a junction design must survive follows from its construction. Both halves are parent-gene sequence, so each parent matches roughly half the oligonucleotide — mostly outside the mismatch budget of a conventional off-target search, though not for every design. That parent liability is the one this work screens for directly. RNase-H1 does not require the whole duplex, only that the gap be paired. That premise is adopted here rather than established, and its length requirement is stated in a different unit from the criterion this paper screens on. The requirement is reported as a DNA gap of at least six nucleotides, with seven to ten the working range[12];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That direction is adopted here rather than retrieved: off-target effects are taken to be seen more often where an oligonucleotide's mismatches fall in its wings than where they fall in its central gap, on which reading a flanking mismatch is the more important one to avoid. An industry working group's 2025 off-target recommendations[13] set five steps, as their abstract states: identification in silico with transcriptomics, a focus on cell types showing activity, in-vitro verification and margin assessment, risk assessment of what is confirmed, and management of what remains. This work performs the in-silico half of the first step and stops there; the margin measurement of the third is what the Discussion specifies, against the wild-type parent the panel screen below identifies as the liability.</w:t>
      </w:r>
    </w:p>
    <w:p>
      <w:pPr>
        <w:pStyle w:val="Heading2"/>
        <w:bidi w:val="0"/>
        <w:jc w:val="left"/>
        <w:rPr/>
      </w:pPr>
      <w:r>
        <w:rPr/>
        <w:t>Materials and Methods</w:t>
      </w:r>
    </w:p>
    <w:p>
      <w:pPr>
        <w:pStyle w:val="BodyText"/>
        <w:bidi w:val="0"/>
        <w:rPr/>
      </w:pPr>
      <w:r>
        <w:rPr/>
        <w:t>All analyses are computational and use public data; no laboratory work was performed. Full parameters, the complete bounds on each claim and the per-design tables are in the archived deposit named under Data availability.</w:t>
      </w:r>
    </w:p>
    <w:p>
      <w:pPr>
        <w:pStyle w:val="BodyText"/>
        <w:bidi w:val="0"/>
        <w:rPr/>
      </w:pPr>
      <w:r>
        <w:rPr/>
        <w:t xml:space="preserve">Canonical transcripts for the five partner genes, and for </w:t>
      </w:r>
      <w:r>
        <w:rPr>
          <w:rStyle w:val="Emphasis"/>
        </w:rPr>
        <w:t>NR4A3</w:t>
      </w:r>
      <w:r>
        <w:rPr/>
        <w:t>, were obtained from Ensembl[14]. Junction-spanning 16-mer gapmers were tiled in a 5-6-5 β-D-oxy-locked-nucleic-acid/DNA/β-D-oxy-locked-nucleic-acid geometry[12],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The first aligns against human RefSeq RNA, classifying each near-match by whether the catalytic gap is paired. The second is an exhaustive transcript scan, complete for substitutions within a one-mismatch budget. The third reads the parents' unspliced sequence. The fourth records the longest contiguous duplex any of six wild-type parent transcripts forms through the catalytic gap. The fifth covers every position of GRCh38, mitochondrial sequence included. They cover mature transcript, unspliced precursor, exon-exon junction, non-coding and mitochondrial sequence — a search scope adopted here. A near-match is a transcript window pairing a design at 14 or more of its 16 positions. Each alignment was re-scored on the nearest-neighbour stability of its longest contiguous paired run — the energy-based second stage adopted here — and only separations are reported. A design is liable where a wild-type parent pairs its whole catalytic gap over a contiguous run of ten base pairs or more, ten being adopted rather than measured. Ten null ensembles were built as scrambles of each design and as chimeras joining the same two parent transcripts at real exon termini, screened identically. Melting temperatures are nearest-neighbour values for an unmodified DNA:RNA hybrid at 250 nM strand[15]. That is not a locked phosphorothioate oligonucleotide, so no absolute melting point is reported. Only the fusion-versus-parent separation is, and as a floor: the fusion duplex pairs all ten locked residues where each parent pairs five.</w:t>
      </w:r>
    </w:p>
    <w:p>
      <w:pPr>
        <w:pStyle w:val="Heading2"/>
        <w:bidi w:val="0"/>
        <w:jc w:val="left"/>
        <w:rPr/>
      </w:pPr>
      <w:r>
        <w:rPr/>
        <w:t>Results</w:t>
      </w:r>
    </w:p>
    <w:p>
      <w:pPr>
        <w:pStyle w:val="Heading3"/>
        <w:bidi w:val="0"/>
        <w:jc w:val="left"/>
        <w:rPr/>
      </w:pPr>
      <w:r>
        <w:rPr/>
        <w:t>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the ten-base-pair criterion below.</w:t>
      </w:r>
    </w:p>
    <w:p>
      <w:pPr>
        <w:pStyle w:val="BodyText"/>
        <w:bidi w:val="0"/>
        <w:rPr/>
      </w:pPr>
      <w:r>
        <w:rPr/>
        <w:t xml:space="preserve">Both reagents sit close to that ten-base-pair criterion.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The cut therefore decides how they read. At eight, both fall inside the class this work marks as not to be ordered; at nine, the </w:t>
      </w:r>
      <w:r>
        <w:rPr>
          <w:rStyle w:val="Emphasis"/>
        </w:rPr>
        <w:t>TAF15</w:t>
      </w:r>
      <w:r>
        <w:rPr/>
        <w:t xml:space="preserve"> reagent alone does;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one slide from a named reagent is condemned: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Both loads are predictions from sequence search rather than measured activity.</w:t>
      </w:r>
    </w:p>
    <w:p>
      <w:pPr>
        <w:pStyle w:val="BodyText"/>
        <w:bidi w:val="0"/>
        <w:rPr/>
      </w:pPr>
      <w:r>
        <w:rPr/>
        <w:t>Both reagents are phosphorothioate throughout, with wings of five contiguous β-D-oxy-locked residues, a high locked content against the two to four per wing taken here as usual, so these are not conventional locked-nucleic-acid reagents and their matched-duplex melting temperatures are correspondingly high. That cuts against the screens: a high-affinity chemistry is taken here to retain knockdown at more extensively mismatched sites than a conventional design does,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 xml:space="preserve">Discounted by the breakpoint distribution of an 18-case series[16], the two junctions account for 68.4% of molecularly confirmed cases in a 58-case cohort[17].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5′-GGGCATATCTCCACGG-3′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this junction is third by reported prevalence and the selection takes the first two.</w:t>
      </w:r>
    </w:p>
    <w:p>
      <w:pPr>
        <w:pStyle w:val="Heading3"/>
        <w:bidi w:val="0"/>
        <w:jc w:val="left"/>
        <w:rPr/>
      </w:pPr>
      <w:r>
        <w:rPr/>
        <w:t>Selection from a panel of 190 designs</w:t>
      </w:r>
    </w:p>
    <w:p>
      <w:pPr>
        <w:pStyle w:val="BodyText"/>
        <w:bidi w:val="0"/>
        <w:rPr/>
      </w:pPr>
      <w:r>
        <w:rPr/>
        <w:t>The parent liability the Introduction describes is mostly but not wholly invisible to the instrument a designer would ordinarily use: seven of the 87 liable designs reach their parent at the 14-of-16 identity these screens run at, and are excluded by name rather than by that threshold. That is the case for screening it directly. The ten-base-pair criterion is adopted rather than measured.</w:t>
      </w:r>
    </w:p>
    <w:p>
      <w:pPr>
        <w:pStyle w:val="BodyText"/>
        <w:bidi w:val="0"/>
        <w:rPr/>
      </w:pPr>
      <w:r>
        <w:rPr/>
        <w:t>Two bounds apply to every panel count below. First, seven of the 190 screens never returned, and the alignment screen censors the rest, leaving 47 of 183 assessable at all — so a count of clean designs is a floor over that subset, not a total over the panel. Second, most designs clean at the default search ceiling are not clean at a deeper one.</w:t>
      </w:r>
    </w:p>
    <w:p>
      <w:pPr>
        <w:pStyle w:val="BodyText"/>
        <w:bidi w:val="0"/>
        <w:rPr/>
      </w:pPr>
      <w:r>
        <w:rPr/>
        <w:t xml:space="preserve">The two reagents above are what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61 of the 87 do so against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 These are upper bounds on that separation, since scoring the longest paired run ignores pairing either side of a mismatch.</w:t>
      </w:r>
    </w:p>
    <w:p>
      <w:pPr>
        <w:pStyle w:val="BodyText"/>
        <w:bidi w:val="0"/>
        <w:rPr/>
      </w:pPr>
      <w:r>
        <w:rPr/>
        <w:t>Lengthening the catalytic gap does not remove this liability, because every base inside the gap comes from the donor or the acceptor exon. Across three geometries the liable count holds at 87, 88 and 87 while the panel grows from 190 designs to 266 and 342, so the rate falls from 45.8% to 33.1% and 25.4%: a longer gap buys margin per design without removing the liability. At 5-10-5 the criterion is met by the catalytic gap alone, so that last figure is a floor; the deposit gives the series.</w:t>
      </w:r>
    </w:p>
    <w:p>
      <w:pPr>
        <w:pStyle w:val="BodyText"/>
        <w:bidi w:val="0"/>
        <w:rPr/>
      </w:pPr>
      <w:r>
        <w:rPr/>
        <w:t xml:space="preserve">Three designs clear every screen applied here, none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w:t>
      </w:r>
    </w:p>
    <w:p>
      <w:pPr>
        <w:pStyle w:val="BodyText"/>
        <w:bidi w:val="0"/>
        <w:rPr/>
      </w:pPr>
      <w:r>
        <w:rPr/>
        <w:t>The comparison against null models does not resolve an excess specific to this disease. Chimeras built at real exon termini of the same two transcripts, at junctions almost never reported in a patient, meet the parent screen at 40.6% against 45.8% for the panel. The adopted cut does not escape that comparison: at ten the strongest null's 40.6% falls inside the panel's own 95% interval on 45.8%, as at every cut from seven to thirteen but eleven.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3"/>
        <w:bidi w:val="0"/>
        <w:jc w:val="left"/>
        <w:rPr/>
      </w:pPr>
      <w:r>
        <w:rPr/>
        <w:t>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no annotated </w:t>
      </w:r>
      <w:r>
        <w:rPr>
          <w:rStyle w:val="Emphasis"/>
        </w:rPr>
        <w:t>NR4A3</w:t>
      </w:r>
      <w:r>
        <w:rPr/>
        <w:t xml:space="preserve"> transcript is exon 2 the first coding exon, so a reported exon-2 acceptor is not this panel's acceptor renumbered.</w:t>
      </w:r>
    </w:p>
    <w:p>
      <w:pPr>
        <w:pStyle w:val="BodyText"/>
        <w:bidi w:val="0"/>
        <w:rPr/>
      </w:pPr>
      <w:r>
        <w:rPr/>
        <w:t xml:space="preserve">That mismatch is a property of how the panel was selected, not of the disease. Its 38 junctions were graded for a fusion protein, so an acceptor upstream of the </w:t>
      </w:r>
      <w:r>
        <w:rPr>
          <w:rStyle w:val="Emphasis"/>
        </w:rPr>
        <w:t>NR4A3</w:t>
      </w:r>
      <w:r>
        <w:rPr/>
        <w:t xml:space="preserve"> initiation codon was dropped as non-coding. That is the right filter for a degrader or a neoantigen and the wrong one for an RNase-H1 gapmer, which cleaves a transcript whether or not its reading frame survives. Exon 2 is a sequenced acceptor in this disease: </w:t>
      </w:r>
      <w:r>
        <w:rPr>
          <w:rStyle w:val="Emphasis"/>
        </w:rPr>
        <w:t>EWSR1</w:t>
      </w:r>
      <w:r>
        <w:rPr/>
        <w:t xml:space="preserve"> exon 7 joined to </w:t>
      </w:r>
      <w:r>
        <w:rPr>
          <w:rStyle w:val="Emphasis"/>
        </w:rPr>
        <w:t>NR4A3</w:t>
      </w:r>
      <w:r>
        <w:rPr/>
        <w:t xml:space="preserve"> exon 2 was resolved in one of five </w:t>
      </w:r>
      <w:r>
        <w:rPr>
          <w:rStyle w:val="Emphasis"/>
        </w:rPr>
        <w:t>EWSR1</w:t>
      </w:r>
      <w:r>
        <w:rPr/>
        <w:t xml:space="preserve">-rearranged tumours of a whole-transcriptome series[18], and a </w:t>
      </w:r>
      <w:r>
        <w:rPr>
          <w:rStyle w:val="Emphasis"/>
        </w:rPr>
        <w:t>PGR</w:t>
      </w:r>
      <w:r>
        <w:rPr/>
        <w:t>::</w:t>
      </w:r>
      <w:r>
        <w:rPr>
          <w:rStyle w:val="Emphasis"/>
        </w:rPr>
        <w:t>NR4A3</w:t>
      </w:r>
      <w:r>
        <w:rPr/>
        <w:t xml:space="preserve"> case joins exon 2 to the </w:t>
      </w:r>
      <w:r>
        <w:rPr>
          <w:rStyle w:val="Emphasis"/>
        </w:rPr>
        <w:t>NR4A3</w:t>
      </w:r>
      <w:r>
        <w:rPr/>
        <w:t xml:space="preserve"> 5′ untranslated region[19]. Beyond exon 3 the position is the reverse: across the exon-resolved </w:t>
      </w:r>
      <w:r>
        <w:rPr>
          <w:rStyle w:val="Emphasis"/>
        </w:rPr>
        <w:t>NR4A3</w:t>
      </w:r>
      <w:r>
        <w:rPr/>
        <w:t xml:space="preserve"> junctions retrieved here every acceptor is exon 2, exon 3, or a cryptic exon in intron 2[20], none 3′ of exon 3, so nothing is designed there because no patient is reported there.</w:t>
      </w:r>
    </w:p>
    <w:p>
      <w:pPr>
        <w:pStyle w:val="BodyText"/>
        <w:bidi w:val="0"/>
        <w:rPr/>
      </w:pPr>
      <w:r>
        <w:rPr/>
        <w:t>Three are engineered constructs from a published functional study[20], whose exon spans that paper states verbatim; two of them, E-N and T-N*, carry exactly the junctions the reagents above span, so both named reagents have a stated test article. Rebuilding them is the faster route, but a heterologously over-expressed complementary DNA speaks to junction-selective knockdown of the intended transcript, not to activity at an endogenous locus.</w:t>
      </w:r>
    </w:p>
    <w:p>
      <w:pPr>
        <w:pStyle w:val="BodyText"/>
        <w:bidi w:val="0"/>
        <w:ind w:hanging="0" w:left="0" w:right="0"/>
        <w:rPr/>
      </w:pPr>
      <w:r>
        <w:rPr/>
        <w:t xml:space="preserve">The other two are patient-derived, identity-clean models reported with two EMC tumours[21], USZ20-EMC1 (RRID:CVCL_C6MX) and USZ22-EMC2 (RRID:CVCL_C6MY) —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 xml:space="preserve">One reading is nonetheless more parsimonious. EMC's defining lesion produces a chimeric transcription factor[1,20]. A donor joined to </w:t>
      </w:r>
      <w:r>
        <w:rPr>
          <w:rStyle w:val="Emphasis"/>
        </w:rPr>
        <w:t>NR4A3</w:t>
      </w:r>
      <w:r>
        <w:rPr/>
        <w:t xml:space="preserve">'s non-coding exon 2 would sit upstream of that gene's own initiation codon and so would not yield one — though it would leave that codon intact and place </w:t>
      </w:r>
      <w:r>
        <w:rPr>
          <w:rStyle w:val="Emphasis"/>
        </w:rPr>
        <w:t>NR4A3</w:t>
      </w:r>
      <w:r>
        <w:rPr/>
        <w:t xml:space="preserve"> under the donor's promoter, a lesion of another kind rather than none. A donor joined to the first coding exon — transcript exon 3 — does yield a chimera. On that reading USZ22-EMC2 carries the junction the </w:t>
      </w:r>
      <w:r>
        <w:rPr>
          <w:rStyle w:val="Emphasis"/>
        </w:rPr>
        <w:t>TAF15</w:t>
      </w:r>
      <w:r>
        <w:rPr/>
        <w:t xml:space="preserve"> reagent spans, and USZ20-EMC1 carries </w:t>
      </w:r>
      <w:r>
        <w:rPr>
          <w:rStyle w:val="Emphasis"/>
        </w:rPr>
        <w:t>EWSR1</w:t>
      </w:r>
      <w:r>
        <w:rPr/>
        <w:t xml:space="preserve"> exon 13 joined to exon 3 — the third design named above, not a reagent named for synthesis. This is an inference and not a determination, and the requirement below is unchanged. The released builder emits an exon-2 acceptor in two cases only: a seam a published report places a patient at, and one the user supplies from their own sequencing, checked against the builder's transcript models.</w:t>
      </w:r>
    </w:p>
    <w:p>
      <w:pPr>
        <w:pStyle w:val="BodyText"/>
        <w:bidi w:val="0"/>
        <w:rPr/>
      </w:pPr>
      <w:r>
        <w:rPr/>
        <w:t xml:space="preserve">Reagents exist at both acceptors: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the selectivity ratio is defined, a closer call than either exon-3 reagent presents. A reagent selected for one acceptor is not valid for the other.</w:t>
      </w:r>
    </w:p>
    <w:p>
      <w:pPr>
        <w:pStyle w:val="BodyText"/>
        <w:bidi w:val="0"/>
        <w:rPr/>
      </w:pPr>
      <w:r>
        <w:rPr/>
        <w:t xml:space="preserve">One requirement is upstream of all of them: the test article's breakpoint must be established at nucleotide resolution by RNA sequencing before any oligonucleotide is ordered: most designs here are specific to the exon pair they were tiled at, and nine of the panel's 176 distinct sequences match at more than one. Routine diagnosis does not supply the seam, since break-apart </w:t>
      </w:r>
      <w:r>
        <w:rPr>
          <w:rStyle w:val="Emphasis"/>
        </w:rPr>
        <w:t>NR4A3</w:t>
      </w:r>
      <w:r>
        <w:rPr/>
        <w:t xml:space="preserve"> fluorescence in situ hybridisation detects a rearrangement irrespective of partner[3].</w:t>
      </w:r>
    </w:p>
    <w:p>
      <w:pPr>
        <w:pStyle w:val="Heading3"/>
        <w:bidi w:val="0"/>
        <w:jc w:val="left"/>
        <w:rPr/>
      </w:pPr>
      <w:r>
        <w:rPr/>
        <w:t>Controls for the knockdown experiment</w:t>
      </w:r>
    </w:p>
    <w:p>
      <w:pPr>
        <w:pStyle w:val="BodyText"/>
        <w:bidi w:val="0"/>
        <w:rPr/>
      </w:pPr>
      <w:r>
        <w:rPr/>
        <w:t xml:space="preserve">Two controls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3.9% do so against wild-type </w:t>
      </w:r>
      <w:r>
        <w:rPr>
          <w:rStyle w:val="Emphasis"/>
        </w:rPr>
        <w:t>NR4A3</w:t>
      </w:r>
      <w:r>
        <w:rPr/>
        <w:t>. Clearing the screen is not a claim of inertness; it is the property a negative control has to have.</w:t>
      </w:r>
    </w:p>
    <w:p>
      <w:pPr>
        <w:pStyle w:val="Heading2"/>
        <w:bidi w:val="0"/>
        <w:jc w:val="left"/>
        <w:rPr/>
      </w:pPr>
      <w:r>
        <w:rPr/>
        <w:t>Discussion</w:t>
      </w:r>
    </w:p>
    <w:p>
      <w:pPr>
        <w:pStyle w:val="Heading3"/>
        <w:bidi w:val="0"/>
        <w:jc w:val="left"/>
        <w:rPr/>
      </w:pPr>
      <w:r>
        <w:rPr/>
        <w:t>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tumour[22]. It is specified here for these reagents, with the two screened controls above, which a knockdown assay alone cannot distinguish.</w:t>
      </w:r>
    </w:p>
    <w:p>
      <w:pPr>
        <w:pStyle w:val="BodyText"/>
        <w:bidi w:val="0"/>
        <w:rPr/>
      </w:pPr>
      <w:r>
        <w:rPr/>
        <w:t xml:space="preserve">Selectivity is the ratio of two half-maximal knockdown concentrations: wild-type </w:t>
      </w:r>
      <w:r>
        <w:rPr>
          <w:rStyle w:val="Emphasis"/>
        </w:rPr>
        <w:t>NR4A3</w:t>
      </w:r>
      <w:r>
        <w:rPr/>
        <w:t xml:space="preserve"> over the fusion, from a matched dose-response in the same wells. The cut of 5.0 is adopted as a convention. Its form and the cut are adopted here, not from the framework's third step[13]. At an assumed replicate standard deviation of 0.35 on the natural-log scale — like the cut, adopted for pre-registration rather than measured here —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and voidness is a property of the realised variance rather than of the design, so the gate applies to the upper confidence bound on a pilot's standard deviation: at or above the void figure for the count proposed, the decision is more replicates or no test, never three. The threshold is defined on the acceptor parent alone, so a reagent can clear it while pairing a donor transcript through its whole gap.</w:t>
      </w:r>
    </w:p>
    <w:p>
      <w:pPr>
        <w:pStyle w:val="Heading3"/>
        <w:bidi w:val="0"/>
        <w:jc w:val="left"/>
        <w:rPr/>
      </w:pPr>
      <w:r>
        <w:rPr/>
        <w:t>Interpretation and limits</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w:t>
      </w:r>
    </w:p>
    <w:p>
      <w:pPr>
        <w:pStyle w:val="BodyText"/>
        <w:bidi w:val="0"/>
        <w:rPr/>
      </w:pPr>
      <w:r>
        <w:rPr/>
        <w:t xml:space="preserve">The constraint is discrimination between the fusion and its parents, and it is not resolved here. The wild-type liability that follows from a junction design's construction is its own parent, in the mature transcript or across a splice junction in precursor RNA. It is not the strongest liability these screens return: no design's own parent pairs more than 13 base pairs in either compartment, against the whole 16 for the eight fully paired off-target duplexes above, five of them curated records. That is a bound, not a ranking — the parent arm reads six transcripts and the energy screen excludes parent records by name — and the two parent compartments are searched before any molecule exists, but not on comparable terms. The mature-transcript screen condemns on a ten-base-pair duplex through the gap; the precursor arm condemns on a hit at up to two mismatches with the gap fully paired. Neither restates the other, and their counts may not be added. A third compartment is searched only in the archived deposit: the patient's own un-rearranged </w:t>
      </w:r>
      <w:r>
        <w:rPr>
          <w:rStyle w:val="Emphasis"/>
        </w:rPr>
        <w:t>NR4A3</w:t>
      </w:r>
      <w:r>
        <w:rPr/>
        <w:t xml:space="preserve"> allele, at a two-mismatch ceiling that bounds its class from below. No design this panel selects is condemned by it, but it excludes two registers of the </w:t>
      </w:r>
      <w:r>
        <w:rPr>
          <w:rStyle w:val="Emphasis"/>
        </w:rPr>
        <w:t>EWSR1</w:t>
      </w:r>
      <w:r>
        <w:rPr/>
        <w:t xml:space="preserve"> exon 13 to </w:t>
      </w:r>
      <w:r>
        <w:rPr>
          <w:rStyle w:val="Emphasis"/>
        </w:rPr>
        <w:t>NR4A3</w:t>
      </w:r>
      <w:r>
        <w:rPr/>
        <w:t xml:space="preserve"> exon-2 seam above while clearing that reagent — the register hazard noted with the reagents, arriving from a compartment the panel's selection never has to consider.</w:t>
      </w:r>
    </w:p>
    <w:p>
      <w:pPr>
        <w:pStyle w:val="BodyText"/>
        <w:bidi w:val="0"/>
        <w:rPr/>
      </w:pPr>
      <w:r>
        <w:rPr/>
        <w:t xml:space="preserve">The four junction-specificity reports cited here[8-10,23] were all made on molecules already synthesised; no survey of design pipelines was performed, so the screen-before-synthesis claim is about this literature as retrieved and not a priority claim. Whether sparing wild-type </w:t>
      </w:r>
      <w:r>
        <w:rPr>
          <w:rStyle w:val="Emphasis"/>
        </w:rPr>
        <w:t>NR4A3</w:t>
      </w:r>
      <w:r>
        <w:rPr/>
        <w:t xml:space="preserve"> is worth a specificity cost is unsettled — reported paralogue redundancy and dosage effects point in opposite directions — and the archived deposit does not resolve it.</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are long established. What is new here is the indication, and the screen applied before synthesis. And systemic delivery to a solid tumour remains unsolved, the gate this modality faces after any result reported here. Every source of a test article named here ends at someone culturing cells.</w:t>
      </w:r>
    </w:p>
    <w:p>
      <w:pPr>
        <w:pStyle w:val="Heading2"/>
        <w:bidi w:val="0"/>
        <w:jc w:val="left"/>
        <w:rPr/>
      </w:pPr>
      <w:r>
        <w:rPr/>
        <w:t>Acknowledgments</w:t>
      </w:r>
    </w:p>
    <w:p>
      <w:pPr>
        <w:pStyle w:val="BodyText"/>
        <w:bidi w:val="0"/>
        <w:rPr/>
      </w:pPr>
      <w:r>
        <w:rPr/>
        <w:t>No person other than the author contributed to this work.</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Author Disclosure Statement</w:t>
      </w:r>
    </w:p>
    <w:p>
      <w:pPr>
        <w:pStyle w:val="BodyText"/>
        <w:bidi w:val="0"/>
        <w:rPr/>
      </w:pPr>
      <w:r>
        <w:rPr/>
        <w:t>No competing financial interests exist. The author holds no patent, patent application, equity or consultancy relating to any sequence or method described here.</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per-design tables, every screen's parameters and the complete bounds on each claim are deposited under </w:t>
      </w:r>
      <w:hyperlink r:id="rId3">
        <w:r>
          <w:rPr>
            <w:rStyle w:val="Hyperlink"/>
          </w:rPr>
          <w:t>doi:10.5281/zenodo.22061075</w:t>
        </w:r>
      </w:hyperlink>
      <w:r>
        <w:rPr/>
        <w:t>, the citable record for them.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B Dockhorn-Dworniczak, N Mandahl, C Desmaze, et al. (1995). Oncogenic conversion of a novel orphan nuclear receptor by chromosome translocation. Hum Mol Genet 4:2219–2226. </w:t>
      </w:r>
      <w:hyperlink r:id="rId4">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S Radaelli, DM Donati, G Beltrami, et al. (2021). Extraskeletal Myxoid Chondrosarcoma with Molecularly Confirmed Diagnosis: A Multicenter Retrospective Study Within the Italian Sarcoma Group. Ann Surg Oncol 28:1142–1150. </w:t>
      </w:r>
      <w:hyperlink r:id="rId5">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6">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F Grosso, G Apice, M Tricomi, et al. (2013). Anthracycline-based chemotherapy in extraskeletal myxoid chondrosarcoma: a retrospective study. Clin Sarcoma Res 3:16. </w:t>
      </w:r>
      <w:hyperlink r:id="rId7">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AM Frezza, PG Casali, A Gutierrez, et al. (2019). Pazopanib for treatment of advanced extraskeletal myxoid chondrosarcoma: a multicentre, single-arm, phase 2 trial. Lancet Oncol 20:1252–1262. </w:t>
      </w:r>
      <w:hyperlink r:id="rId8">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9">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J Yang, M Mendt, S Singh, et al. (2020). RNAi technology targeting the FGFR3-TACC3 fusion breakpoint: an opportunity for precision medicine. Neurooncol Adv 2:vdaa132. </w:t>
      </w:r>
      <w:hyperlink r:id="rId10">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1">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G Lopez-Berestein, B Ozpolat and M Ittmann. (2012). Highly specific targeting of the TMPRSS2/ERG fusion gene using liposomal nanovectors. Clin Cancer Res 18:6648–6657. </w:t>
      </w:r>
      <w:hyperlink r:id="rId12">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TP Prakash, A Revenko and SM Simon. (2024). GalNAc-conjugated siRNA targeting the DNAJB1-PRKACA fusion junction in fibrolamellar hepatocellular carcinoma. Mol Ther 32:140–151. </w:t>
      </w:r>
      <w:hyperlink r:id="rId13">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14">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Andersson P, SA Burel, H Estrella, J Foy, PH Hagedorn, TA Harper Jr, SP Henry, JC Hoflack, EM Holgersen, et al. (2025). Assessing Hybridization-Dependent Off-Target Risk for Therapeutic Oligonucleotides: Updated Industry Recommendations. Nucleic Acid Ther 35:16–33. </w:t>
      </w:r>
      <w:hyperlink r:id="rId15">
        <w:r>
          <w:rPr>
            <w:rStyle w:val="Hyperlink"/>
          </w:rPr>
          <w:t>doi:10.1089/nat.2024.0072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M Barba, I Barnes, VP Barrera-Enriquez, A Becker, R Bennett, M Beracochea, et al. (2025). Ensembl 2025. Nucleic Acids Res 53:D948–D957. </w:t>
      </w:r>
      <w:hyperlink r:id="rId16">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A Matsumura, H Nakamuta, T Ohmichi, M Yoneyama and M Sasaki. (1995). Thermodynamic parameters to predict stability of RNA/DNA hybrid duplexes. Biochemistry 34:11211–11216. </w:t>
      </w:r>
      <w:hyperlink r:id="rId17">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B Bjerkehagen, R Sciot, P Dal Cin, et al. (2002). Molecular genetic characterization of the EWS/CHN and RBP56/CHN fusion genes in extraskeletal myxoid chondrosarcoma. Genes Chromosomes Cancer 35:340–352. </w:t>
      </w:r>
      <w:hyperlink r:id="rId18">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YM Chang, KC Chang, PS Wu, et al. (2023). Extraskeletal Myxoid Chondrosarcomas: The Uncommon Clinicopathologic Manifestations and Significance of TAF15::NR4A3 Fusion. Mod Pathol 36:100161. </w:t>
      </w:r>
      <w:hyperlink r:id="rId19">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Urbini M, V Indio, A Astolfi, G Tarantino, SL Renne, S Pilotti, AP Dei Tos, R Maestro, P Collini, et al. (2018). Identification of an Actionable Mutation of KIT in a Case of Extraskeletal Myxoid Chondrosarcoma. Int J Mol Sci 19:E1855. </w:t>
      </w:r>
      <w:hyperlink r:id="rId20">
        <w:r>
          <w:rPr>
            <w:rStyle w:val="Hyperlink"/>
          </w:rPr>
          <w:t>doi:10.3390/ijms19071855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C Kumar-Sinha, AM Chinnaiyan and R Chugh. (2022). Identification of Novel PGR-NR4A3 Fusion in Extraskeletal Myxoid Chondrosarcoma and Resultant Patient Benefit From Tamoxifen Therapy. JCO Precis Oncol 6:e2200039. </w:t>
      </w:r>
      <w:hyperlink r:id="rId21">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M Polano, S Rossi, S Brich, et al. (2019). NR4A3 fusion proteins trigger an axon guidance switch that marks the difference between EWSR1 and TAF15 translocated extraskeletal myxoid chondrosarcomas. J Pathol 249:90–101. </w:t>
      </w:r>
      <w:hyperlink r:id="rId22">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23">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CA Meyer, DS Moura, J Martin-Broto, HN Hayenga and L Bleris. (2023). Reduction of Tumor Growth with RNA-Targeting Treatment of the NAB2-STAT6 Fusion Transcript in Solitary Fibrous Tumor Models. Cancers (Basel) 15:3127. </w:t>
      </w:r>
      <w:hyperlink r:id="rId24">
        <w:r>
          <w:rPr>
            <w:rStyle w:val="Hyperlink"/>
          </w:rPr>
          <w:t>doi:10.3390/cancers15123127</w:t>
        </w:r>
      </w:hyperlink>
      <w:r>
        <w:rPr/>
        <w:t xml:space="preserve"> </w:t>
      </w:r>
    </w:p>
    <w:p>
      <w:pPr>
        <w:pStyle w:val="BodyText"/>
        <w:numPr>
          <w:ilvl w:val="0"/>
          <w:numId w:val="1"/>
        </w:numPr>
        <w:tabs>
          <w:tab w:val="clear" w:pos="709"/>
          <w:tab w:val="left" w:pos="709" w:leader="none"/>
        </w:tabs>
        <w:bidi w:val="0"/>
        <w:ind w:hanging="283" w:left="709"/>
        <w:rPr/>
      </w:pPr>
      <w:r>
        <w:rPr/>
        <w:t xml:space="preserve">Lee MS, S An, JY Song, M Sung, K Jung, ES Chang, J Choi, DY Oh, YK Jeon, et al. (2023). Cancer-Specific Sequences in the Diagnosis and Treatment of NUT Carcinoma. Cancer Res Treat 55:452–467. </w:t>
      </w:r>
      <w:hyperlink r:id="rId25">
        <w:r>
          <w:rPr>
            <w:rStyle w:val="Hyperlink"/>
          </w:rPr>
          <w:t>doi:10.4143/crt.2022.910</w:t>
        </w:r>
      </w:hyperlink>
      <w:r>
        <w:rPr/>
        <w:t xml:space="preserve"> </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 and their test article.</w:t>
      </w:r>
      <w:r>
        <w:rPr/>
        <w:t xml:space="preserve"> The parent-duplex column is the longest contiguous duplex a mature wild-type parent forms through the catalytic gap; neither reagent reaches the ten-base-pair criterion, so the length is printed rather than a pass mark. Test articles are the engineered constructs of Brenca et al. (</w:t>
      </w:r>
      <w:hyperlink r:id="rId26">
        <w:r>
          <w:rPr>
            <w:rStyle w:val="Hyperlink"/>
          </w:rPr>
          <w:t>PMID: 31020999</w:t>
        </w:r>
      </w:hyperlink>
      <w:r>
        <w:rPr/>
        <w:t>); the two patient-derived models of Bangerter et al. (</w:t>
      </w:r>
      <w:hyperlink r:id="rId27">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The separation is a floor rather than an estimate, for the reason Methods gives; absolute melting points are not reported for a locked, phosphorothioate oligonucleotide. Nothing here has been synthesised or tested, and no sequence may be administered to any person or animal.</w:t>
      </w:r>
    </w:p>
    <w:tbl>
      <w:tblPr>
        <w:tblW w:w="9866" w:type="dxa"/>
        <w:jc w:val="left"/>
        <w:tblInd w:w="0" w:type="dxa"/>
        <w:tblLayout w:type="fixed"/>
        <w:tblCellMar>
          <w:top w:w="28" w:type="dxa"/>
          <w:left w:w="28" w:type="dxa"/>
          <w:bottom w:w="28" w:type="dxa"/>
          <w:right w:w="28" w:type="dxa"/>
        </w:tblCellMar>
      </w:tblPr>
      <w:tblGrid>
        <w:gridCol w:w="1638"/>
        <w:gridCol w:w="2744"/>
        <w:gridCol w:w="751"/>
        <w:gridCol w:w="1509"/>
        <w:gridCol w:w="1173"/>
        <w:gridCol w:w="2051"/>
      </w:tblGrid>
      <w:tr>
        <w:trPr>
          <w:tblHeader w:val="true"/>
        </w:trPr>
        <w:tc>
          <w:tcPr>
            <w:tcW w:w="9866" w:type="dxa"/>
            <w:gridSpan w:val="6"/>
            <w:tcBorders/>
            <w:vAlign w:val="center"/>
          </w:tcPr>
          <w:p>
            <w:pPr>
              <w:pStyle w:val="TableHeading"/>
              <w:suppressLineNumbers/>
              <w:shd w:fill="EAEEF2" w:val="clear"/>
              <w:bidi w:val="0"/>
              <w:jc w:val="left"/>
              <w:rPr/>
            </w:pPr>
            <w:r>
              <w:rPr/>
              <w:t>Table 1</w:t>
            </w:r>
          </w:p>
        </w:tc>
      </w:tr>
      <w:tr>
        <w:trPr>
          <w:tblHeader w:val="true"/>
        </w:trPr>
        <w:tc>
          <w:tcPr>
            <w:tcW w:w="1638" w:type="dxa"/>
            <w:tcBorders/>
            <w:vAlign w:val="center"/>
          </w:tcPr>
          <w:p>
            <w:pPr>
              <w:pStyle w:val="TableHeading"/>
              <w:suppressLineNumbers/>
              <w:shd w:fill="EAEEF2" w:val="clear"/>
              <w:bidi w:val="0"/>
              <w:jc w:val="left"/>
              <w:rPr/>
            </w:pPr>
            <w:r>
              <w:rPr/>
              <w:t>seam</w:t>
            </w:r>
          </w:p>
        </w:tc>
        <w:tc>
          <w:tcPr>
            <w:tcW w:w="2744"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509" w:type="dxa"/>
            <w:tcBorders/>
            <w:vAlign w:val="center"/>
          </w:tcPr>
          <w:p>
            <w:pPr>
              <w:pStyle w:val="TableHeading"/>
              <w:suppressLineNumbers/>
              <w:shd w:fill="EAEEF2" w:val="clear"/>
              <w:bidi w:val="0"/>
              <w:jc w:val="left"/>
              <w:rPr/>
            </w:pPr>
            <w:r>
              <w:rPr/>
              <w:t>WT gap duplex (bp)</w:t>
            </w:r>
          </w:p>
        </w:tc>
        <w:tc>
          <w:tcPr>
            <w:tcW w:w="1173" w:type="dxa"/>
            <w:tcBorders/>
            <w:vAlign w:val="center"/>
          </w:tcPr>
          <w:p>
            <w:pPr>
              <w:pStyle w:val="TableHeading"/>
              <w:suppressLineNumbers/>
              <w:shd w:fill="EAEEF2" w:val="clear"/>
              <w:bidi w:val="0"/>
              <w:jc w:val="left"/>
              <w:rPr/>
            </w:pPr>
            <w:r>
              <w:rPr/>
              <w:t>ΔTm floor (°C)</w:t>
            </w:r>
          </w:p>
        </w:tc>
        <w:tc>
          <w:tcPr>
            <w:tcW w:w="2051" w:type="dxa"/>
            <w:tcBorders/>
            <w:vAlign w:val="center"/>
          </w:tcPr>
          <w:p>
            <w:pPr>
              <w:pStyle w:val="TableHeading"/>
              <w:suppressLineNumbers/>
              <w:shd w:fill="EAEEF2" w:val="clear"/>
              <w:bidi w:val="0"/>
              <w:jc w:val="left"/>
              <w:rPr/>
            </w:pPr>
            <w:r>
              <w:rPr/>
              <w:t>test article</w:t>
            </w:r>
          </w:p>
        </w:tc>
      </w:tr>
      <w:tr>
        <w:trPr/>
        <w:tc>
          <w:tcPr>
            <w:tcW w:w="1638"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8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26.6</w:t>
            </w:r>
          </w:p>
        </w:tc>
        <w:tc>
          <w:tcPr>
            <w:tcW w:w="2051" w:type="dxa"/>
            <w:tcBorders/>
            <w:vAlign w:val="center"/>
          </w:tcPr>
          <w:p>
            <w:pPr>
              <w:pStyle w:val="TableContents"/>
              <w:widowControl w:val="false"/>
              <w:suppressLineNumbers/>
              <w:bidi w:val="0"/>
              <w:jc w:val="left"/>
              <w:rPr/>
            </w:pPr>
            <w:r>
              <w:rPr/>
              <w:t>E-N, engineered construct</w:t>
            </w:r>
          </w:p>
        </w:tc>
      </w:tr>
      <w:tr>
        <w:trPr/>
        <w:tc>
          <w:tcPr>
            <w:tcW w:w="1638"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9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36.0</w:t>
            </w:r>
          </w:p>
        </w:tc>
        <w:tc>
          <w:tcPr>
            <w:tcW w:w="2051" w:type="dxa"/>
            <w:tcBorders/>
            <w:vAlign w:val="center"/>
          </w:tcPr>
          <w:p>
            <w:pPr>
              <w:pStyle w:val="TableContents"/>
              <w:widowControl w:val="false"/>
              <w:suppressLineNumbers/>
              <w:bidi w:val="0"/>
              <w:jc w:val="left"/>
              <w:rPr/>
            </w:pPr>
            <w:r>
              <w:rPr/>
              <w:t>T-N*, engineered construct</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The Controls section above explains why that screening step makes a scramble a control.</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325501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8"/>
                    <a:stretch>
                      <a:fillRect/>
                    </a:stretch>
                  </pic:blipFill>
                  <pic:spPr bwMode="auto">
                    <a:xfrm>
                      <a:off x="0" y="0"/>
                      <a:ext cx="720090" cy="3255010"/>
                    </a:xfrm>
                    <a:prstGeom prst="rect">
                      <a:avLst/>
                    </a:prstGeom>
                  </pic:spPr>
                </pic:pic>
              </a:graphicData>
            </a:graphic>
          </wp:inline>
        </w:drawing>
      </w:r>
      <w:r>
        <w:rPr/>
        <w:t xml:space="preserve"> </w:t>
      </w:r>
    </w:p>
    <w:p>
      <w:pPr>
        <w:pStyle w:val="BodyTextlegend"/>
        <w:bidi w:val="0"/>
        <w:spacing w:before="0" w:after="32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 The </w:t>
      </w:r>
      <w:r>
        <w:rPr>
          <w:rStyle w:val="Emphasis"/>
        </w:rPr>
        <w:t>TAF15</w:t>
      </w:r>
      <w:r>
        <w:rPr/>
        <w:t xml:space="preserve"> row is exon 11 — a different junction from Table 1's </w:t>
      </w:r>
      <w:r>
        <w:rPr>
          <w:rStyle w:val="Emphasis"/>
        </w:rPr>
        <w:t>TAF15</w:t>
      </w:r>
      <w:r>
        <w:rPr/>
        <w:t xml:space="preserve"> exon 6 reagent, and one of the two further breakpoints the </w:t>
      </w:r>
      <w:r>
        <w:rPr>
          <w:rStyle w:val="Emphasis"/>
        </w:rPr>
        <w:t>EWSR1</w:t>
      </w:r>
      <w:r>
        <w:rPr/>
        <w:t xml:space="preserve"> reagent also spans. No reagent is named at it.</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WenQuanYi Zen Hei" w:cs="Free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WenQuanYi Zen Hei" w:cs="Free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WenQuanYi Zen Hei" w:cs="Free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doi.org/10.5281/zenodo.22061075" TargetMode="External"/><Relationship Id="rId4" Type="http://schemas.openxmlformats.org/officeDocument/2006/relationships/hyperlink" Target="https://doi.org/10.1093/hmg/4.12.2219" TargetMode="External"/><Relationship Id="rId5" Type="http://schemas.openxmlformats.org/officeDocument/2006/relationships/hyperlink" Target="https://doi.org/10.1245/s10434-020-08737-7" TargetMode="External"/><Relationship Id="rId6" Type="http://schemas.openxmlformats.org/officeDocument/2006/relationships/hyperlink" Target="https://doi.org/10.1007/s00432-025-06316-5" TargetMode="External"/><Relationship Id="rId7" Type="http://schemas.openxmlformats.org/officeDocument/2006/relationships/hyperlink" Target="https://doi.org/10.1186/2045-3329-3-16" TargetMode="External"/><Relationship Id="rId8" Type="http://schemas.openxmlformats.org/officeDocument/2006/relationships/hyperlink" Target="https://doi.org/10.1016/S1470-2045(19)30319-5" TargetMode="External"/><Relationship Id="rId9" Type="http://schemas.openxmlformats.org/officeDocument/2006/relationships/hyperlink" Target="https://doi.org/10.1023/a:1005716926800" TargetMode="External"/><Relationship Id="rId10" Type="http://schemas.openxmlformats.org/officeDocument/2006/relationships/hyperlink" Target="https://doi.org/10.1093/noajnl/vdaa132" TargetMode="External"/><Relationship Id="rId11" Type="http://schemas.openxmlformats.org/officeDocument/2006/relationships/hyperlink" Target="https://doi.org/10.1089/hum.2011.079" TargetMode="External"/><Relationship Id="rId12" Type="http://schemas.openxmlformats.org/officeDocument/2006/relationships/hyperlink" Target="https://doi.org/10.1158/1078-0432.ccr-12-2715" TargetMode="External"/><Relationship Id="rId13" Type="http://schemas.openxmlformats.org/officeDocument/2006/relationships/hyperlink" Target="https://doi.org/10.1016/j.ymthe.2023.11.012" TargetMode="External"/><Relationship Id="rId14" Type="http://schemas.openxmlformats.org/officeDocument/2006/relationships/hyperlink" Target="https://doi.org/10.1016/j.ddtec.2005.08.012" TargetMode="External"/><Relationship Id="rId15" Type="http://schemas.openxmlformats.org/officeDocument/2006/relationships/hyperlink" Target="https://doi.org/10.1089/nat.2024.0072" TargetMode="External"/><Relationship Id="rId16" Type="http://schemas.openxmlformats.org/officeDocument/2006/relationships/hyperlink" Target="https://doi.org/10.1093/nar/gkae1071" TargetMode="External"/><Relationship Id="rId17" Type="http://schemas.openxmlformats.org/officeDocument/2006/relationships/hyperlink" Target="https://doi.org/10.1021/bi00035a029" TargetMode="External"/><Relationship Id="rId18" Type="http://schemas.openxmlformats.org/officeDocument/2006/relationships/hyperlink" Target="https://doi.org/10.1002/gcc.10127" TargetMode="External"/><Relationship Id="rId19" Type="http://schemas.openxmlformats.org/officeDocument/2006/relationships/hyperlink" Target="https://doi.org/10.1016/j.modpat.2023.100161" TargetMode="External"/><Relationship Id="rId20" Type="http://schemas.openxmlformats.org/officeDocument/2006/relationships/hyperlink" Target="https://doi.org/10.3390/ijms19071855" TargetMode="External"/><Relationship Id="rId21" Type="http://schemas.openxmlformats.org/officeDocument/2006/relationships/hyperlink" Target="https://doi.org/10.1200/po.22.00039" TargetMode="External"/><Relationship Id="rId22" Type="http://schemas.openxmlformats.org/officeDocument/2006/relationships/hyperlink" Target="https://doi.org/10.1002/path.5284" TargetMode="External"/><Relationship Id="rId23" Type="http://schemas.openxmlformats.org/officeDocument/2006/relationships/hyperlink" Target="https://doi.org/10.1007/s13577-022-00818-x" TargetMode="External"/><Relationship Id="rId24" Type="http://schemas.openxmlformats.org/officeDocument/2006/relationships/hyperlink" Target="https://doi.org/10.3390/cancers15123127" TargetMode="External"/><Relationship Id="rId25" Type="http://schemas.openxmlformats.org/officeDocument/2006/relationships/hyperlink" Target="https://doi.org/10.4143/crt.2022.910" TargetMode="External"/><Relationship Id="rId26" Type="http://schemas.openxmlformats.org/officeDocument/2006/relationships/hyperlink" Target="https://pubmed.ncbi.nlm.nih.gov/31020999/" TargetMode="External"/><Relationship Id="rId27" Type="http://schemas.openxmlformats.org/officeDocument/2006/relationships/hyperlink" Target="https://pubmed.ncbi.nlm.nih.gov/36316541/" TargetMode="External"/><Relationship Id="rId28" Type="http://schemas.openxmlformats.org/officeDocument/2006/relationships/image" Target="media/image1.png"/><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