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version"/>
        <w:bidi w:val="0"/>
        <w:jc w:val="left"/>
        <w:rPr/>
      </w:pPr>
      <w:r>
        <w:rPr/>
        <w:t>Figure legends for: NR4A3 fusion-junction antisense gapmers for extraskeletal myxoid chondrosarcoma: reagents, test articles and a pre-registrable knockdown experiment</w:t>
      </w:r>
    </w:p>
    <w:p>
      <w:pPr>
        <w:pStyle w:val="Heading1"/>
        <w:bidi w:val="0"/>
        <w:jc w:val="left"/>
        <w:rPr/>
      </w:pPr>
      <w:r>
        <w:rPr/>
        <w:t>Figure legends</w:t>
      </w:r>
    </w:p>
    <w:p>
      <w:pPr>
        <w:pStyle w:val="BodyTextlegend"/>
        <w:bidi w:val="0"/>
        <w:spacing w:before="0" w:after="320"/>
        <w:jc w:val="left"/>
        <w:rPr/>
      </w:pPr>
      <w:r>
        <w:rPr>
          <w:rStyle w:val="Strong"/>
        </w:rPr>
        <w:t>Figure 1. One 16-mer spans three partners' breakpoints, and only one of the three is a junction any patient is reported to carry.</w:t>
      </w:r>
      <w:r>
        <w:rPr/>
        <w:t xml:space="preserve"> The junction windows of </w:t>
      </w:r>
      <w:r>
        <w:rPr>
          <w:rStyle w:val="Emphasis"/>
        </w:rPr>
        <w:t>EWSR1</w:t>
      </w:r>
      <w:r>
        <w:rPr/>
        <w:t xml:space="preserve"> exon 12, </w:t>
      </w:r>
      <w:r>
        <w:rPr>
          <w:rStyle w:val="Emphasis"/>
        </w:rPr>
        <w:t>TAF15</w:t>
      </w:r>
      <w:r>
        <w:rPr/>
        <w:t xml:space="preserve"> exon 11 and </w:t>
      </w:r>
      <w:r>
        <w:rPr>
          <w:rStyle w:val="Emphasis"/>
        </w:rPr>
        <w:t>FUS</w:t>
      </w:r>
      <w:r>
        <w:rPr/>
        <w:t xml:space="preserve"> exon 10 joined to </w:t>
      </w:r>
      <w:r>
        <w:rPr>
          <w:rStyle w:val="Emphasis"/>
        </w:rPr>
        <w:t>NR4A3</w:t>
      </w:r>
      <w:r>
        <w:rPr/>
        <w:t xml:space="preserve"> exon 3, aligned at the breakpoint, each row carrying its own reporting status. The </w:t>
      </w:r>
      <w:r>
        <w:rPr>
          <w:rStyle w:val="Emphasis"/>
        </w:rPr>
        <w:t>TAF15</w:t>
      </w:r>
      <w:r>
        <w:rPr/>
        <w:t xml:space="preserve"> row is exon 11 — a different junction from Table 1's </w:t>
      </w:r>
      <w:r>
        <w:rPr>
          <w:rStyle w:val="Emphasis"/>
        </w:rPr>
        <w:t>TAF15</w:t>
      </w:r>
      <w:r>
        <w:rPr/>
        <w:t xml:space="preserve"> exon 6 reagent, and one of the two further breakpoints the </w:t>
      </w:r>
      <w:r>
        <w:rPr>
          <w:rStyle w:val="Emphasis"/>
        </w:rPr>
        <w:t>EWSR1</w:t>
      </w:r>
      <w:r>
        <w:rPr/>
        <w:t xml:space="preserve"> reagent also spans. No reagent is named at it.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DejaVu Sans Mono">
    <w:altName w:val="Consolas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480"/>
    </w:pPr>
    <w:rPr>
      <w:rFonts w:ascii="Liberation Serif;Times New Roman;Times;serif" w:hAnsi="Liberation Serif;Times New Roman;Times;serif" w:eastAsia="Liberation Serif;Times New Roman;Times;serif" w:cs="Liberation Serif;Times New Roman;Times;serif"/>
      <w:color w:val="111111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lineRule="auto" w:line="300" w:before="240" w:after="280"/>
      <w:outlineLvl w:val="0"/>
    </w:pPr>
    <w:rPr>
      <w:rFonts w:ascii="Liberation Serif" w:hAnsi="Liberation Serif" w:eastAsia="WenQuanYi Zen Hei" w:cs="FreeSans"/>
      <w:b/>
      <w:bCs/>
      <w:sz w:val="28"/>
      <w:szCs w:val="28"/>
    </w:rPr>
  </w:style>
  <w:style w:type="paragraph" w:styleId="Heading2">
    <w:name w:val="Heading 2"/>
    <w:basedOn w:val="Heading"/>
    <w:next w:val="BodyText"/>
    <w:qFormat/>
    <w:pPr>
      <w:pBdr>
        <w:bottom w:val="single" w:sz="4" w:space="3" w:color="CCCCCC"/>
      </w:pBdr>
      <w:spacing w:before="400" w:after="120"/>
      <w:ind w:left="400" w:right="400"/>
      <w:outlineLvl w:val="1"/>
    </w:pPr>
    <w:rPr>
      <w:rFonts w:ascii="Liberation Serif" w:hAnsi="Liberation Serif" w:eastAsia="WenQuanYi Zen Hei" w:cs="FreeSans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80" w:after="80"/>
      <w:ind w:left="280" w:right="280"/>
      <w:outlineLvl w:val="2"/>
    </w:pPr>
    <w:rPr>
      <w:rFonts w:ascii="Liberation Serif" w:hAnsi="Liberation Serif" w:eastAsia="WenQuanYi Zen Hei" w:cs="FreeSans"/>
      <w:b/>
      <w:bCs/>
      <w:sz w:val="22"/>
      <w:szCs w:val="22"/>
    </w:rPr>
  </w:style>
  <w:style w:type="character" w:styleId="SourceText">
    <w:name w:val="Source Text"/>
    <w:qFormat/>
    <w:rPr>
      <w:rFonts w:ascii="DejaVu Sans Mono;Consolas;monospace" w:hAnsi="DejaVu Sans Mono;Consolas;monospace" w:eastAsia="DejaVu Sans Mono;Consolas;monospace" w:cs="DejaVu Sans Mono;Consolas;monospace"/>
      <w:shd w:fill="F4F4F4" w:val="clear"/>
    </w:rPr>
  </w:style>
  <w:style w:type="character" w:styleId="SourceTextbrk">
    <w:name w:val="Source Text.brk"/>
    <w:basedOn w:val="SourceText"/>
    <w:qFormat/>
    <w:rPr/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strike w:val="false"/>
      <w:dstrike w:val="false"/>
      <w:color w:val="14507D"/>
      <w:u w:val="none"/>
      <w:effect w:val="none"/>
    </w:rPr>
  </w:style>
  <w:style w:type="character" w:styleId="FollowedHyperlink">
    <w:name w:val="FollowedHyperlink"/>
    <w:rPr>
      <w:strike w:val="false"/>
      <w:dstrike w:val="false"/>
      <w:color w:val="14507D"/>
      <w:u w:val="none"/>
      <w:effect w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widowControl/>
      <w:spacing w:lineRule="auto" w:line="276" w:before="0" w:after="160"/>
      <w:jc w:val="both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Quotation">
    <w:name w:val="Block Quotation"/>
    <w:basedOn w:val="Normal"/>
    <w:qFormat/>
    <w:pPr>
      <w:spacing w:before="120" w:after="160"/>
      <w:ind w:hanging="0" w:left="120" w:right="120"/>
      <w:jc w:val="center"/>
    </w:pPr>
    <w:rPr/>
  </w:style>
  <w:style w:type="paragraph" w:styleId="PreformattedText">
    <w:name w:val="Preformatted Text"/>
    <w:basedOn w:val="Normal"/>
    <w:qFormat/>
    <w:pPr>
      <w:pBdr>
        <w:left w:val="single" w:sz="16" w:space="7" w:color="C8D2DC"/>
      </w:pBdr>
      <w:shd w:fill="F4F4F4" w:val="clear"/>
      <w:spacing w:lineRule="auto" w:line="324" w:before="0" w:after="160"/>
      <w:jc w:val="left"/>
    </w:pPr>
    <w:rPr>
      <w:rFonts w:ascii="DejaVu Sans Mono;Consolas;monospace" w:hAnsi="DejaVu Sans Mono;Consolas;monospace" w:eastAsia="DejaVu Sans Mono;Consolas;monospace" w:cs="DejaVu Sans Mono;Consolas;monospace"/>
      <w:sz w:val="20"/>
      <w:szCs w:val="20"/>
    </w:rPr>
  </w:style>
  <w:style w:type="paragraph" w:styleId="BodyTextlegend">
    <w:name w:val="Body Text.legend"/>
    <w:basedOn w:val="BodyText"/>
    <w:qFormat/>
    <w:pPr>
      <w:widowControl/>
      <w:spacing w:before="0" w:after="320"/>
      <w:jc w:val="left"/>
    </w:pPr>
    <w:rPr>
      <w:sz w:val="18"/>
      <w:szCs w:val="18"/>
    </w:rPr>
  </w:style>
  <w:style w:type="paragraph" w:styleId="BodyTextversion">
    <w:name w:val="Body Text.version"/>
    <w:basedOn w:val="BodyText"/>
    <w:qFormat/>
    <w:pPr>
      <w:spacing w:before="0" w:after="240"/>
      <w:ind w:left="0" w:right="0"/>
      <w:jc w:val="left"/>
    </w:pPr>
    <w:rPr>
      <w:color w:val="46545F"/>
      <w:sz w:val="17"/>
      <w:szCs w:val="17"/>
    </w:rPr>
  </w:style>
  <w:style w:type="paragraph" w:styleId="BodyTextsitrace">
    <w:name w:val="Body Text.sitrace"/>
    <w:basedOn w:val="BodyText"/>
    <w:qFormat/>
    <w:pPr>
      <w:spacing w:before="0" w:after="200"/>
      <w:jc w:val="left"/>
    </w:pPr>
    <w:rPr>
      <w:sz w:val="18"/>
      <w:szCs w:val="18"/>
    </w:rPr>
  </w:style>
  <w:style w:type="paragraph" w:styleId="Heading2runs-on">
    <w:name w:val="Heading 2.runs-on"/>
    <w:basedOn w:val="Heading2"/>
    <w:qFormat/>
    <w:pPr>
      <w:spacing w:before="360" w:after="120"/>
      <w:ind w:hanging="0" w:left="400"/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  <w:jc w:val="left"/>
    </w:pPr>
    <w:rPr/>
  </w:style>
  <w:style w:type="paragraph" w:styleId="TableHeading">
    <w:name w:val="Table Heading"/>
    <w:basedOn w:val="TableContents"/>
    <w:qFormat/>
    <w:pPr>
      <w:suppressLineNumbers/>
      <w:shd w:fill="EAEEF2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NR4A3 fusion-junction antisense gapmers for extraskeletal myxoid chondrosarcoma: reagents, test articles and a pre-registrable knockdown experiment — figure legends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