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supplies the methods, specimen definitions and complete results for the panel comparisons, expanded same-source reference and public-source characterization. The accompanying data and code package contains the protocols, source ledgers, measurements and analysis outputs described here.</w:t>
      </w:r>
    </w:p>
    <w:p>
      <w:pPr>
        <w:pStyle w:val="Heading1"/>
      </w:pPr>
      <w:r>
        <w:t>Panel and comparator provenance</w:t>
      </w:r>
    </w:p>
    <w:p>
      <w:r>
        <w:rPr>
          <w:b w:val="0"/>
        </w:rPr>
        <w:t>The 11-gene panel was inherited from a manually curated assessment of proposed therapeutic routes. It combined candidate surface antigens (CD276, SSTR2, CSPG4, MSLN, L1CAM, GPC3, ALPP and CDH17), stromal/pericyte-associated targets (FAP and CD248), and PRAME as an intracellular peptide–HLA candidate. CD276 reflected a B7-H3-targeting concept; SSTR2 a receptor/theranostic hypothesis; FAP and CD248 the need to include stromal compartments; and CSPG4 a proteoglycan-related targeting hypothesis and a gap in earlier candidate reporting. The remaining surface antigens were inherited candidates, with epithelial-associated entries also used as specificity checks. These are nomination rationales, not demonstrations of EMC target biology. No external standard defines exactly this set of 11; it was a practical working list, not an exhaustive surfaceome or a ranked top-11 signature. Every member had a unique measured gene row and array annotation and was retained regardless of its result.</w:t>
      </w:r>
    </w:p>
    <w:p>
      <w:r>
        <w:rPr>
          <w:b w:val="0"/>
        </w:rPr>
        <w:t>Myxoid liposarcoma (MLPS), low-grade fibromyxoid sarcoma (LGFMS) and synovial sarcoma were investigator-selected for morphological and diagnostic relevance. No scoring system established them as the three closest EMC mimics. The array comparisons were determined by available tumor types: LGFMS, MFS, desmoid and SFT were present in both collections. Broader references instead applied the source-class rules to every eligible category. The full atlas preserves all 60 labels, including the categories outside those references.</w:t>
      </w:r>
    </w:p>
    <w:p>
      <w:r>
        <w:rPr>
          <w:b w:val="0"/>
        </w:rPr>
        <w:t>The panel and initial comparator rule were fixed before inspection of Hofvander target values, but earlier array findings were already known. The broader reference and uncertainty analyses were later exploratory extensions; the study was not preregistered. Source selection used diagnosis and identity metadata, not favorable CSPG4 expression. The source search was completed on 19 September 2026. Dated plans, amendments, identity corrections and complete historical results are retained in the data archive, including the author-requested all-12-primary-EMC exclusion sensitivity of 22 September 2026.</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Hofvander reports 704 specimens from 704 patients. The three exclusions below address patient reuse across studies, not duplicate rows or poor-quality specimens within Hofvander. The 2017 primary article states that its six EMC array profiles reused the earlier published expression data.[S6] Its clinical table connects the same historical cases to those in Hofvander. Individual EMC1–EMC6 and exact aliquot mappings remain unresolved. Source Excel row numbers include headers.</w:t>
      </w:r>
    </w:p>
    <w:tbl>
      <w:tblPr>
        <w:tblW w:type="auto" w:w="0"/>
        <w:jc w:val="center"/>
        <w:tblLayout w:type="fixed"/>
        <w:tblLook w:firstColumn="1" w:firstRow="1" w:lastColumn="0" w:lastRow="0" w:noHBand="0" w:noVBand="1" w:val="04A0"/>
      </w:tblPr>
      <w:tblGrid>
        <w:gridCol w:w="1152"/>
        <w:gridCol w:w="1296"/>
        <w:gridCol w:w="3384"/>
        <w:gridCol w:w="3960"/>
      </w:tblGrid>
      <w:tr>
        <w:trPr>
          <w:cantSplit/>
          <w:tblHeader/>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Hofvander S1 row</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Historical crosswalk or lesion</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104-92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189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MDB9736:3; 2017 case 46, row 53</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168-97</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191</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MDB9736:4; 2017 case 48, row 55</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536-00</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MDB9736:7; 2017 case 49, row 56</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5081-14</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196</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Samplef=LR; footnote f defines local recurrence</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Apply the primary-lesion rule consistently</w:t>
            </w:r>
          </w:p>
        </w:tc>
      </w:tr>
    </w:tbl>
    <w:p>
      <w:pPr>
        <w:spacing w:after="0"/>
      </w:pPr>
    </w:p>
    <w:p>
      <w:r>
        <w:rPr>
          <w:b w:val="0"/>
        </w:rPr>
        <w:t>The three overlapping cases are valid source-primary tumors. Their CSPG4 values are 36.56, 53.49 and 5.99 TPM, respectively. Including them gives 12 primary EMCs with median 51.205 TPM (51.21 rounded), quartiles 30.6125 and 59.645 TPM, and range 5.99–207.08 TPM. Against the unchanged 393 references, 3,810 of 4,716 pairs favor EMC and none tie, giving A=0.8078880. Against the unchanged 489 references, 4,606 of 5,868 pairs favor EMC and none tie, giving A=0.7849352. This descriptive sensitivity tests the effect of the overlap-reduction policy; the local recurrence remains excluded. The original nine-case analysis is preserved. No patient date is inferred from an identifier suffix.</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For the rank-sum test, equal values receive the mean of their occupied ranks. The exact calculation doubles these midranks to use integer arithmetic and counts every observation separately, including observations sharing a value.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approximate 95% percentile bootstrap interval for this pooled A was 0.7090755–0.9575912.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Historical panel rule and sequencing-year sensitivity</w:t>
      </w:r>
    </w:p>
    <w:p>
      <w:r>
        <w:rPr>
          <w:b w:val="0"/>
        </w:rPr>
        <w:t>Sequencing year was an early technical-proxy sensitivity, not an adjustment for a demonstrated laboratory change. The Hofvander report uses a common computational pipeline, and its Supplementary Figure S1 reports no significant sequencing-year effect in global expression clustering across six illustrated tumor types, including EMC. The inspected source does not document year-specific wet-lab protocol changes. This does not exclude gene-specific technical variation, but matching on year discards many otherwise eligible comparisons and changes the group being estimated. The all-year analysis is therefore emphasized; all historical conditional results, including adverse results, are retained below.</w:t>
      </w:r>
    </w:p>
    <w:p>
      <w:r>
        <w:rPr>
          <w:b w:val="0"/>
        </w:rPr>
        <w:t>The three-histology composite gives equal weight to myxoid liposarcoma, low-grade fibromyxoid sarcoma and synovial sarcoma. The all-year composite averages their three A scores. For the year-conditioned composite, each within-year A is first weighted by the number of retained EMC specimens in that supported year, normalized within the comparator histology; the three histology scores are then averaged equally. Deletion analyses recompute year support and weights. Lost cells are omitted and weights renormalized; an absent histology comparison is recorded as missing and cannot satisfy the decision rule.</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weights each within-year A by the number of EMC specimens in that year divided by nine. Labels are permuted within year with group sizes fixed. The two-sided tail compares absolute distance from 0.5; the Monte Carlo P value is (b+1)/(B+1), where b is the number of permutations at least as extreme as observed and B=199,999.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Selection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it is not relabeled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Selection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Panel effects and all deletion results are supplied in the historical-analysis subfolder of the accompanying data and code package.</w:t>
      </w:r>
    </w:p>
    <w:p>
      <w:r>
        <w:rPr>
          <w:b w:val="0"/>
        </w:rPr>
        <w:t>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Supplementary references</w:t>
      </w:r>
    </w:p>
    <w:p>
      <w:pPr>
        <w:spacing w:line="252" w:lineRule="auto" w:after="140"/>
      </w:pPr>
      <w:r>
        <w:rPr>
          <w:b w:val="0"/>
          <w:sz w:val="21"/>
        </w:rPr>
        <w:t>[S1] Renner M,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pacing w:line="252" w:lineRule="auto" w:after="140"/>
      </w:pPr>
      <w:r>
        <w:rPr>
          <w:b w:val="0"/>
          <w:sz w:val="21"/>
        </w:rPr>
        <w:t>[S6] Arbajian E, Puls F, Antonescu CR, Amary F, Sciot R, Debiec-Rychter M, et al. In-depth Genetic Analysis of Sclerosing Epithelioid Fibrosarcoma Reveals Recurrent Genomic Alterations and Potential Treatment Targets. Clin Cancer Res. 2017;23:7426–7434. https://doi.org/10.1158/1078-0432.CCR-17-1856.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