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0"/>
        <w:jc w:val="left"/>
        <w:rPr/>
      </w:pPr>
      <w:r>
        <w:rPr/>
        <w:t>Title page</w:t>
      </w:r>
    </w:p>
    <w:p>
      <w:pPr>
        <w:pStyle w:val="BodyText"/>
        <w:bidi w:val="0"/>
        <w:rPr/>
      </w:pPr>
      <w:r>
        <w:rPr>
          <w:rStyle w:val="Strong"/>
        </w:rPr>
        <w:t>Title.</w:t>
      </w:r>
      <w:r>
        <w:rPr/>
        <w:t xml:space="preserve"> NR4A3 fusion-junction antisense gapmers for extraskeletal myxoid chondrosarcoma: reagents, test articles and a pre-registrable knockdown experiment</w:t>
      </w:r>
    </w:p>
    <w:p>
      <w:pPr>
        <w:pStyle w:val="BodyText"/>
        <w:bidi w:val="0"/>
        <w:rPr/>
      </w:pPr>
      <w:r>
        <w:rPr>
          <w:rStyle w:val="Strong"/>
        </w:rPr>
        <w:t>Author.</w:t>
      </w:r>
      <w:r>
        <w:rPr/>
        <w:t xml:space="preserve"> Tristan D. McRae</w:t>
      </w:r>
    </w:p>
    <w:p>
      <w:pPr>
        <w:pStyle w:val="BodyText"/>
        <w:bidi w:val="0"/>
        <w:rPr/>
      </w:pPr>
      <w:r>
        <w:rPr>
          <w:rStyle w:val="Emphasis"/>
        </w:rPr>
        <w:t>Independent researcher, unaffiliated.</w:t>
      </w:r>
      <w:r>
        <w:rPr/>
        <w:t xml:space="preserve"> Correspondence: trimcrae@gmail.com ORCID: </w:t>
      </w:r>
      <w:hyperlink r:id="rId2">
        <w:r>
          <w:rPr>
            <w:rStyle w:val="Hyperlink"/>
          </w:rPr>
          <w:t>0000-0002-1823-1451</w:t>
        </w:r>
      </w:hyperlink>
    </w:p>
    <w:p>
      <w:pPr>
        <w:pStyle w:val="BodyText"/>
        <w:bidi w:val="0"/>
        <w:rPr/>
      </w:pPr>
      <w:r>
        <w:rPr>
          <w:rStyle w:val="Strong"/>
        </w:rPr>
        <w:t>Running title.</w:t>
      </w:r>
      <w:r>
        <w:rPr/>
        <w:t xml:space="preserve"> NR4A3 junction gapmers for EMC</w:t>
      </w:r>
    </w:p>
    <w:p>
      <w:pPr>
        <w:pStyle w:val="BodyText"/>
        <w:bidi w:val="0"/>
        <w:rPr/>
      </w:pPr>
      <w:r>
        <w:rPr>
          <w:rStyle w:val="Strong"/>
        </w:rPr>
        <w:t>Keywords.</w:t>
      </w:r>
      <w:r>
        <w:rPr/>
        <w:t xml:space="preserve"> antisense oligonucleotide; gapmer; RNase-H1; fusion transcript; NR4A3; extraskeletal myxoid chondrosarcoma; off-target screening</w:t>
      </w:r>
    </w:p>
    <w:p>
      <w:pPr>
        <w:pStyle w:val="Heading3"/>
        <w:bidi w:val="0"/>
        <w:jc w:val="left"/>
        <w:rPr/>
      </w:pPr>
      <w:r>
        <w:rPr/>
        <w:t>Acknowledgments</w:t>
      </w:r>
    </w:p>
    <w:p>
      <w:pPr>
        <w:pStyle w:val="BodyText"/>
        <w:bidi w:val="0"/>
        <w:rPr/>
      </w:pPr>
      <w:r>
        <w:rPr/>
        <w:t>No person other than the author contributed to this work.</w:t>
      </w:r>
    </w:p>
    <w:p>
      <w:pPr>
        <w:pStyle w:val="BodyText"/>
        <w:bidi w:val="0"/>
        <w:rPr/>
      </w:pPr>
      <w:r>
        <w:rPr/>
        <w:t>T.D.M. is the sole author, and is responsible for the conception and design of the study, the analysis code, the screens and their interpretation, and the drafting and revision of this manuscript.</w:t>
      </w:r>
    </w:p>
    <w:p>
      <w:pPr>
        <w:pStyle w:val="Heading3"/>
        <w:bidi w:val="0"/>
        <w:jc w:val="left"/>
        <w:rPr/>
      </w:pPr>
      <w:r>
        <w:rPr/>
        <w:t>Author Disclosure Statement</w:t>
      </w:r>
    </w:p>
    <w:p>
      <w:pPr>
        <w:pStyle w:val="BodyText"/>
        <w:bidi w:val="0"/>
        <w:rPr/>
      </w:pPr>
      <w:r>
        <w:rPr/>
        <w:t>No competing financial interests exist. The author holds no patent, patent application, equity or consultancy relating to any sequence or method described here.</w:t>
      </w:r>
    </w:p>
    <w:p>
      <w:pPr>
        <w:pStyle w:val="BodyText"/>
        <w:bidi w:val="0"/>
        <w:spacing w:before="0" w:after="160"/>
        <w:rPr/>
      </w:pPr>
      <w:r>
        <w:rPr>
          <w:rStyle w:val="Strong"/>
        </w:rPr>
        <w:t>Funding statement.</w:t>
      </w:r>
      <w:r>
        <w:rPr/>
        <w:t xml:space="preserve"> No external funding; self-funded by the author.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DejaVu Sans Mono">
    <w:altName w:val="Consolas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80"/>
    </w:pPr>
    <w:rPr>
      <w:rFonts w:ascii="Liberation Serif;Times New Roman;Times;serif" w:hAnsi="Liberation Serif;Times New Roman;Times;serif" w:eastAsia="Liberation Serif;Times New Roman;Times;serif" w:cs="Liberation Serif;Times New Roman;Times;serif"/>
      <w:color w:val="11111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 w:before="240" w:after="280"/>
      <w:outlineLvl w:val="0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pBdr>
        <w:bottom w:val="single" w:sz="4" w:space="3" w:color="CCCCCC"/>
      </w:pBdr>
      <w:spacing w:before="400" w:after="120"/>
      <w:ind w:left="400" w:right="400"/>
      <w:outlineLvl w:val="1"/>
    </w:pPr>
    <w:rPr>
      <w:rFonts w:ascii="Liberation Serif" w:hAnsi="Liberation Serif" w:eastAsia="DejaVu Sans" w:cs="DejaVu 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80" w:after="80"/>
      <w:ind w:left="280" w:right="280"/>
      <w:outlineLvl w:val="2"/>
    </w:pPr>
    <w:rPr>
      <w:rFonts w:ascii="Liberation Serif" w:hAnsi="Liberation Serif" w:eastAsia="DejaVu Sans" w:cs="DejaVu Sans"/>
      <w:b/>
      <w:bCs/>
      <w:sz w:val="22"/>
      <w:szCs w:val="22"/>
    </w:rPr>
  </w:style>
  <w:style w:type="character" w:styleId="SourceText">
    <w:name w:val="Source Text"/>
    <w:qFormat/>
    <w:rPr>
      <w:rFonts w:ascii="DejaVu Sans Mono;Consolas;monospace" w:hAnsi="DejaVu Sans Mono;Consolas;monospace" w:eastAsia="DejaVu Sans Mono;Consolas;monospace" w:cs="DejaVu Sans Mono;Consolas;monospace"/>
      <w:shd w:fill="F4F4F4" w:val="clear"/>
    </w:rPr>
  </w:style>
  <w:style w:type="character" w:styleId="SourceTextbrk">
    <w:name w:val="Source Text.brk"/>
    <w:basedOn w:val="SourceTex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strike w:val="false"/>
      <w:dstrike w:val="false"/>
      <w:color w:val="14507D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4507D"/>
      <w:u w:val="none"/>
      <w:effect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widowControl/>
      <w:spacing w:lineRule="auto" w:line="276" w:before="0" w:after="160"/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lockQuotation">
    <w:name w:val="Block Quotation"/>
    <w:basedOn w:val="Normal"/>
    <w:qFormat/>
    <w:pPr>
      <w:spacing w:before="120" w:after="160"/>
      <w:ind w:hanging="0" w:left="120" w:right="120"/>
      <w:jc w:val="center"/>
    </w:pPr>
    <w:rPr/>
  </w:style>
  <w:style w:type="paragraph" w:styleId="PreformattedText">
    <w:name w:val="Preformatted Text"/>
    <w:basedOn w:val="Normal"/>
    <w:qFormat/>
    <w:pPr>
      <w:pBdr>
        <w:left w:val="single" w:sz="16" w:space="7" w:color="C8D2DC"/>
      </w:pBdr>
      <w:shd w:fill="F4F4F4" w:val="clear"/>
      <w:spacing w:lineRule="auto" w:line="324" w:before="0" w:after="160"/>
      <w:jc w:val="left"/>
    </w:pPr>
    <w:rPr>
      <w:rFonts w:ascii="DejaVu Sans Mono;Consolas;monospace" w:hAnsi="DejaVu Sans Mono;Consolas;monospace" w:eastAsia="DejaVu Sans Mono;Consolas;monospace" w:cs="DejaVu Sans Mono;Consolas;monospace"/>
      <w:sz w:val="20"/>
      <w:szCs w:val="20"/>
    </w:rPr>
  </w:style>
  <w:style w:type="paragraph" w:styleId="BodyTextlegend">
    <w:name w:val="Body Text.legend"/>
    <w:basedOn w:val="BodyText"/>
    <w:qFormat/>
    <w:pPr>
      <w:widowControl/>
      <w:spacing w:before="0" w:after="320"/>
      <w:jc w:val="left"/>
    </w:pPr>
    <w:rPr>
      <w:sz w:val="18"/>
      <w:szCs w:val="18"/>
    </w:rPr>
  </w:style>
  <w:style w:type="paragraph" w:styleId="BodyTextversion">
    <w:name w:val="Body Text.version"/>
    <w:basedOn w:val="BodyText"/>
    <w:qFormat/>
    <w:pPr>
      <w:spacing w:before="0" w:after="240"/>
      <w:ind w:left="0" w:right="0"/>
      <w:jc w:val="left"/>
    </w:pPr>
    <w:rPr>
      <w:color w:val="46545F"/>
      <w:sz w:val="17"/>
      <w:szCs w:val="17"/>
    </w:rPr>
  </w:style>
  <w:style w:type="paragraph" w:styleId="BodyTextsitrace">
    <w:name w:val="Body Text.sitrace"/>
    <w:basedOn w:val="BodyText"/>
    <w:qFormat/>
    <w:pPr>
      <w:spacing w:before="0" w:after="200"/>
      <w:jc w:val="left"/>
    </w:pPr>
    <w:rPr>
      <w:sz w:val="18"/>
      <w:szCs w:val="18"/>
    </w:rPr>
  </w:style>
  <w:style w:type="paragraph" w:styleId="Heading2runs-on">
    <w:name w:val="Heading 2.runs-on"/>
    <w:basedOn w:val="Heading2"/>
    <w:qFormat/>
    <w:pPr>
      <w:spacing w:before="360" w:after="120"/>
      <w:ind w:hanging="0" w:left="400"/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EAEEF2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rcid.org/0000-0002-1823-1451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NR4A3 fusion-junction antisense gapmers for extraskeletal myxoid chondrosarcoma: reagents, test articles and a pre-registrable knockdown experiment — title page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