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File 2 for NR4A3 expression portability</w:t>
      </w:r>
    </w:p>
    <w:p>
      <w:r>
        <w:t>This supplement accompanies the short report and the extended evidence report. All section, main-table and main-figure cross-references retain the numbering of the extended evidence report. Supplementary Table numbers remain unchanged across the two supplemental files. The short report uses its own Table 1 and reference list.</w:t>
      </w:r>
    </w:p>
    <w:p>
      <w:pPr/>
      <w:r>
        <w:t>Interpretive update—18 September 2026. These supplements accompany the revised manuscript on expression portability of reported NR4A3-fusion targets. Numerical results and analysis procedures are unchanged. SI1 §S1.3 preserves the historical protocol, and SI2 Appendix A preserves the dated correction history; their descriptions of the paper's contribution and interpretation refer to those earlier stages. The current interpretation is given in the revised main manuscript. Competitive gene-set nonexceedance does not invalidate a measured expression contrast, establish equivalence, or refute reported binding evidence. Search results describe the stated queries and sources. Appendix B outlines possible follow-up evidence; it does not establish mechanisms from the present expression comparisons.</w:t>
      </w:r>
    </w:p>
    <w:p>
      <w:r>
        <w:rPr>
          <w:b w:val="0"/>
          <w:i w:val="0"/>
        </w:rPr>
        <w:t>Tables and appendices are retained from the accepted preprint. Numerical entries are unchanged. Current table references are updated for this journal derivative; historical first-column wording in Appendix A is preserved verbatim. Original Table 7 is now Supplementary Table S13, and original Table 9 is now Supplementary Table S14. The historical record is not new analysis.</w:t>
      </w:r>
    </w:p>
    <w:p>
      <w:pPr>
        <w:keepNext/>
        <w:spacing w:before="160"/>
      </w:pPr>
      <w:r>
        <w:rPr>
          <w:b/>
          <w:i w:val="0"/>
        </w:rPr>
        <w:t>Supplementary Table S9. The evidence classes, and how many genes are in each.</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2731"/>
        <w:gridCol w:w="4722"/>
        <w:gridCol w:w="1731"/>
      </w:tblGrid>
      <w:tr>
        <w:trPr>
          <w:cantSplit/>
          <w:tblHeader/>
        </w:trPr>
        <w:tc>
          <w:tcPr>
            <w:tcW w:type="dxa" w:w="2731"/>
            <w:tcMar>
              <w:top w:w="80" w:type="dxa"/>
              <w:left w:w="80" w:type="dxa"/>
              <w:bottom w:w="80" w:type="dxa"/>
              <w:right w:w="80" w:type="dxa"/>
            </w:tcMar>
          </w:tcPr>
          <w:p>
            <w:pPr>
              <w:keepNext/>
              <w:spacing w:after="60" w:line="240" w:lineRule="auto"/>
            </w:pPr>
            <w:r>
              <w:rPr>
                <w:b/>
                <w:i w:val="0"/>
                <w:sz w:val="19"/>
              </w:rPr>
              <w:t>class</w:t>
            </w:r>
          </w:p>
        </w:tc>
        <w:tc>
          <w:tcPr>
            <w:tcW w:type="dxa" w:w="4722"/>
            <w:tcMar>
              <w:top w:w="80" w:type="dxa"/>
              <w:left w:w="80" w:type="dxa"/>
              <w:bottom w:w="80" w:type="dxa"/>
              <w:right w:w="80" w:type="dxa"/>
            </w:tcMar>
          </w:tcPr>
          <w:p>
            <w:pPr>
              <w:keepNext/>
              <w:spacing w:after="60" w:line="240" w:lineRule="auto"/>
            </w:pPr>
            <w:r>
              <w:rPr>
                <w:b/>
                <w:i w:val="0"/>
                <w:sz w:val="19"/>
              </w:rPr>
              <w:t>definition</w:t>
            </w:r>
          </w:p>
        </w:tc>
        <w:tc>
          <w:tcPr>
            <w:tcW w:type="dxa" w:w="1731"/>
            <w:tcMar>
              <w:top w:w="80" w:type="dxa"/>
              <w:left w:w="80" w:type="dxa"/>
              <w:bottom w:w="80" w:type="dxa"/>
              <w:right w:w="80" w:type="dxa"/>
            </w:tcMar>
          </w:tcPr>
          <w:p>
            <w:pPr>
              <w:keepNext/>
              <w:spacing w:after="60" w:line="240" w:lineRule="auto"/>
            </w:pPr>
            <w:r>
              <w:rPr>
                <w:b/>
                <w:i w:val="0"/>
                <w:sz w:val="19"/>
              </w:rPr>
              <w:t>genes</w:t>
            </w:r>
          </w:p>
        </w:tc>
      </w:tr>
      <w:tr>
        <w:trPr>
          <w:cantSplit/>
        </w:trPr>
        <w:tc>
          <w:tcPr>
            <w:tcW w:type="dxa" w:w="2731"/>
            <w:tcMar>
              <w:top w:w="80" w:type="dxa"/>
              <w:left w:w="80" w:type="dxa"/>
              <w:bottom w:w="80" w:type="dxa"/>
              <w:right w:w="80" w:type="dxa"/>
            </w:tcMar>
          </w:tcPr>
          <w:p>
            <w:pPr>
              <w:spacing w:after="60" w:line="240" w:lineRule="auto"/>
            </w:pPr>
            <w:r>
              <w:rPr>
                <w:b/>
                <w:i w:val="0"/>
                <w:sz w:val="19"/>
              </w:rPr>
              <w:t>A</w:t>
            </w:r>
            <w:r>
              <w:rPr>
                <w:b w:val="0"/>
                <w:i w:val="0"/>
                <w:sz w:val="19"/>
              </w:rPr>
              <w:t xml:space="preserve"> — fusion DNA-binding</w:t>
            </w:r>
          </w:p>
        </w:tc>
        <w:tc>
          <w:tcPr>
            <w:tcW w:type="dxa" w:w="4722"/>
            <w:tcMar>
              <w:top w:w="80" w:type="dxa"/>
              <w:left w:w="80" w:type="dxa"/>
              <w:bottom w:w="80" w:type="dxa"/>
              <w:right w:w="80" w:type="dxa"/>
            </w:tcMar>
          </w:tcPr>
          <w:p>
            <w:pPr>
              <w:spacing w:after="60" w:line="240" w:lineRule="auto"/>
            </w:pPr>
            <w:r>
              <w:rPr>
                <w:b w:val="0"/>
                <w:i w:val="0"/>
                <w:sz w:val="19"/>
              </w:rPr>
              <w:t xml:space="preserve">a DNA-binding or promoter assay performed </w:t>
            </w:r>
            <w:r>
              <w:rPr>
                <w:b/>
                <w:i w:val="0"/>
                <w:sz w:val="19"/>
              </w:rPr>
              <w:t>with an NR4A3 fusion</w:t>
            </w:r>
            <w:r>
              <w:rPr>
                <w:b w:val="0"/>
                <w:i w:val="0"/>
                <w:sz w:val="19"/>
              </w:rPr>
              <w:t>. The strongest class.</w:t>
            </w:r>
          </w:p>
        </w:tc>
        <w:tc>
          <w:tcPr>
            <w:tcW w:type="dxa" w:w="1731"/>
            <w:tcMar>
              <w:top w:w="80" w:type="dxa"/>
              <w:left w:w="80" w:type="dxa"/>
              <w:bottom w:w="80" w:type="dxa"/>
              <w:right w:w="80" w:type="dxa"/>
            </w:tcMar>
          </w:tcPr>
          <w:p>
            <w:pPr>
              <w:spacing w:after="60" w:line="240" w:lineRule="auto"/>
            </w:pPr>
            <w:r>
              <w:rPr>
                <w:b/>
                <w:i w:val="0"/>
                <w:sz w:val="19"/>
              </w:rPr>
              <w:t>3</w:t>
            </w:r>
          </w:p>
        </w:tc>
      </w:tr>
      <w:tr>
        <w:trPr>
          <w:cantSplit/>
        </w:trPr>
        <w:tc>
          <w:tcPr>
            <w:tcW w:type="dxa" w:w="2731"/>
            <w:tcMar>
              <w:top w:w="80" w:type="dxa"/>
              <w:left w:w="80" w:type="dxa"/>
              <w:bottom w:w="80" w:type="dxa"/>
              <w:right w:w="80" w:type="dxa"/>
            </w:tcMar>
          </w:tcPr>
          <w:p>
            <w:pPr>
              <w:spacing w:after="60" w:line="240" w:lineRule="auto"/>
            </w:pPr>
            <w:r>
              <w:rPr>
                <w:b/>
                <w:i w:val="0"/>
                <w:sz w:val="19"/>
              </w:rPr>
              <w:t>B</w:t>
            </w:r>
            <w:r>
              <w:rPr>
                <w:b w:val="0"/>
                <w:i w:val="0"/>
                <w:sz w:val="19"/>
              </w:rPr>
              <w:t xml:space="preserve"> — native DNA-binding</w:t>
            </w:r>
          </w:p>
        </w:tc>
        <w:tc>
          <w:tcPr>
            <w:tcW w:type="dxa" w:w="4722"/>
            <w:tcMar>
              <w:top w:w="80" w:type="dxa"/>
              <w:left w:w="80" w:type="dxa"/>
              <w:bottom w:w="80" w:type="dxa"/>
              <w:right w:w="80" w:type="dxa"/>
            </w:tcMar>
          </w:tcPr>
          <w:p>
            <w:pPr>
              <w:spacing w:after="60" w:line="240" w:lineRule="auto"/>
            </w:pPr>
            <w:r>
              <w:rPr>
                <w:b w:val="0"/>
                <w:i w:val="0"/>
                <w:sz w:val="19"/>
              </w:rPr>
              <w:t xml:space="preserve">the same assay class with </w:t>
            </w:r>
            <w:r>
              <w:rPr>
                <w:b/>
                <w:i w:val="0"/>
                <w:sz w:val="19"/>
              </w:rPr>
              <w:t>native NR4A3</w:t>
            </w:r>
            <w:r>
              <w:rPr>
                <w:b w:val="0"/>
                <w:i w:val="0"/>
                <w:sz w:val="19"/>
              </w:rPr>
              <w:t>. Transfer to the fusion is an assumption.</w:t>
            </w:r>
          </w:p>
        </w:tc>
        <w:tc>
          <w:tcPr>
            <w:tcW w:type="dxa" w:w="1731"/>
            <w:tcMar>
              <w:top w:w="80" w:type="dxa"/>
              <w:left w:w="80" w:type="dxa"/>
              <w:bottom w:w="80" w:type="dxa"/>
              <w:right w:w="80" w:type="dxa"/>
            </w:tcMar>
          </w:tcPr>
          <w:p>
            <w:pPr>
              <w:spacing w:after="60" w:line="240" w:lineRule="auto"/>
            </w:pPr>
            <w:r>
              <w:rPr>
                <w:b w:val="0"/>
                <w:i w:val="0"/>
                <w:sz w:val="19"/>
              </w:rPr>
              <w:t>16</w:t>
            </w:r>
          </w:p>
        </w:tc>
      </w:tr>
      <w:tr>
        <w:trPr>
          <w:cantSplit/>
        </w:trPr>
        <w:tc>
          <w:tcPr>
            <w:tcW w:type="dxa" w:w="2731"/>
            <w:tcMar>
              <w:top w:w="80" w:type="dxa"/>
              <w:left w:w="80" w:type="dxa"/>
              <w:bottom w:w="80" w:type="dxa"/>
              <w:right w:w="80" w:type="dxa"/>
            </w:tcMar>
          </w:tcPr>
          <w:p>
            <w:pPr>
              <w:spacing w:after="60" w:line="240" w:lineRule="auto"/>
            </w:pPr>
            <w:r>
              <w:rPr>
                <w:b/>
                <w:i w:val="0"/>
                <w:sz w:val="19"/>
              </w:rPr>
              <w:t>C</w:t>
            </w:r>
            <w:r>
              <w:rPr>
                <w:b w:val="0"/>
                <w:i w:val="0"/>
                <w:sz w:val="19"/>
              </w:rPr>
              <w:t xml:space="preserve"> — fusion expression only</w:t>
            </w:r>
          </w:p>
        </w:tc>
        <w:tc>
          <w:tcPr>
            <w:tcW w:type="dxa" w:w="4722"/>
            <w:tcMar>
              <w:top w:w="80" w:type="dxa"/>
              <w:left w:w="80" w:type="dxa"/>
              <w:bottom w:w="80" w:type="dxa"/>
              <w:right w:w="80" w:type="dxa"/>
            </w:tcMar>
          </w:tcPr>
          <w:p>
            <w:pPr>
              <w:spacing w:after="60" w:line="240" w:lineRule="auto"/>
            </w:pPr>
            <w:r>
              <w:rPr>
                <w:b w:val="0"/>
                <w:i w:val="0"/>
                <w:sz w:val="19"/>
              </w:rPr>
              <w:t>the gene moves when the fusion is expressed; no binding assay.</w:t>
            </w:r>
          </w:p>
        </w:tc>
        <w:tc>
          <w:tcPr>
            <w:tcW w:type="dxa" w:w="1731"/>
            <w:tcMar>
              <w:top w:w="80" w:type="dxa"/>
              <w:left w:w="80" w:type="dxa"/>
              <w:bottom w:w="80" w:type="dxa"/>
              <w:right w:w="80" w:type="dxa"/>
            </w:tcMar>
          </w:tcPr>
          <w:p>
            <w:pPr>
              <w:spacing w:after="60" w:line="240" w:lineRule="auto"/>
            </w:pPr>
            <w:r>
              <w:rPr>
                <w:b w:val="0"/>
                <w:i w:val="0"/>
                <w:sz w:val="19"/>
              </w:rPr>
              <w:t>2</w:t>
            </w:r>
          </w:p>
        </w:tc>
      </w:tr>
      <w:tr>
        <w:trPr>
          <w:cantSplit/>
        </w:trPr>
        <w:tc>
          <w:tcPr>
            <w:tcW w:type="dxa" w:w="2731"/>
            <w:tcMar>
              <w:top w:w="80" w:type="dxa"/>
              <w:left w:w="80" w:type="dxa"/>
              <w:bottom w:w="80" w:type="dxa"/>
              <w:right w:w="80" w:type="dxa"/>
            </w:tcMar>
          </w:tcPr>
          <w:p>
            <w:pPr>
              <w:spacing w:after="60" w:line="240" w:lineRule="auto"/>
            </w:pPr>
            <w:r>
              <w:rPr>
                <w:b/>
                <w:i w:val="0"/>
                <w:sz w:val="19"/>
              </w:rPr>
              <w:t>D</w:t>
            </w:r>
            <w:r>
              <w:rPr>
                <w:b w:val="0"/>
                <w:i w:val="0"/>
                <w:sz w:val="19"/>
              </w:rPr>
              <w:t xml:space="preserve"> — EMC tumour expression only</w:t>
            </w:r>
          </w:p>
        </w:tc>
        <w:tc>
          <w:tcPr>
            <w:tcW w:type="dxa" w:w="4722"/>
            <w:tcMar>
              <w:top w:w="80" w:type="dxa"/>
              <w:left w:w="80" w:type="dxa"/>
              <w:bottom w:w="80" w:type="dxa"/>
              <w:right w:w="80" w:type="dxa"/>
            </w:tcMar>
          </w:tcPr>
          <w:p>
            <w:pPr>
              <w:spacing w:after="60" w:line="240" w:lineRule="auto"/>
            </w:pPr>
            <w:r>
              <w:rPr>
                <w:b w:val="0"/>
                <w:i w:val="0"/>
                <w:sz w:val="19"/>
              </w:rPr>
              <w:t>measured in EMC tissue; no mechanism.</w:t>
            </w:r>
          </w:p>
        </w:tc>
        <w:tc>
          <w:tcPr>
            <w:tcW w:type="dxa" w:w="1731"/>
            <w:tcMar>
              <w:top w:w="80" w:type="dxa"/>
              <w:left w:w="80" w:type="dxa"/>
              <w:bottom w:w="80" w:type="dxa"/>
              <w:right w:w="80" w:type="dxa"/>
            </w:tcMar>
          </w:tcPr>
          <w:p>
            <w:pPr>
              <w:spacing w:after="60" w:line="240" w:lineRule="auto"/>
            </w:pPr>
            <w:r>
              <w:rPr>
                <w:b w:val="0"/>
                <w:i w:val="0"/>
                <w:sz w:val="19"/>
              </w:rPr>
              <w:t>1</w:t>
            </w:r>
          </w:p>
        </w:tc>
      </w:tr>
    </w:tbl>
    <w:p>
      <w:pPr>
        <w:keepNext/>
        <w:spacing w:before="160"/>
      </w:pPr>
      <w:r>
        <w:rPr>
          <w:b/>
          <w:i w:val="0"/>
        </w:rPr>
        <w:t>Supplementary Table S10. The three cohorts.</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263"/>
        <w:gridCol w:w="1845"/>
        <w:gridCol w:w="1263"/>
        <w:gridCol w:w="2751"/>
        <w:gridCol w:w="2062"/>
      </w:tblGrid>
      <w:tr>
        <w:trPr>
          <w:cantSplit/>
          <w:tblHeader/>
        </w:trPr>
        <w:tc>
          <w:tcPr>
            <w:tcW w:type="dxa" w:w="1263"/>
            <w:tcMar>
              <w:top w:w="80" w:type="dxa"/>
              <w:left w:w="80" w:type="dxa"/>
              <w:bottom w:w="80" w:type="dxa"/>
              <w:right w:w="80" w:type="dxa"/>
            </w:tcMar>
          </w:tcPr>
          <w:p>
            <w:pPr>
              <w:keepNext/>
              <w:spacing w:after="60" w:line="240" w:lineRule="auto"/>
            </w:pPr>
            <w:r>
              <w:rPr>
                <w:b/>
                <w:i w:val="0"/>
                <w:sz w:val="19"/>
              </w:rPr>
              <w:t>cohort</w:t>
            </w:r>
          </w:p>
        </w:tc>
        <w:tc>
          <w:tcPr>
            <w:tcW w:type="dxa" w:w="1845"/>
            <w:tcMar>
              <w:top w:w="80" w:type="dxa"/>
              <w:left w:w="80" w:type="dxa"/>
              <w:bottom w:w="80" w:type="dxa"/>
              <w:right w:w="80" w:type="dxa"/>
            </w:tcMar>
          </w:tcPr>
          <w:p>
            <w:pPr>
              <w:keepNext/>
              <w:spacing w:after="60" w:line="240" w:lineRule="auto"/>
            </w:pPr>
            <w:r>
              <w:rPr>
                <w:b/>
                <w:i w:val="0"/>
                <w:sz w:val="19"/>
              </w:rPr>
              <w:t>platform</w:t>
            </w:r>
          </w:p>
        </w:tc>
        <w:tc>
          <w:tcPr>
            <w:tcW w:type="dxa" w:w="1263"/>
            <w:tcMar>
              <w:top w:w="80" w:type="dxa"/>
              <w:left w:w="80" w:type="dxa"/>
              <w:bottom w:w="80" w:type="dxa"/>
              <w:right w:w="80" w:type="dxa"/>
            </w:tcMar>
          </w:tcPr>
          <w:p>
            <w:pPr>
              <w:keepNext/>
              <w:spacing w:after="60" w:line="240" w:lineRule="auto"/>
            </w:pPr>
            <w:r>
              <w:rPr>
                <w:b/>
                <w:i w:val="0"/>
                <w:sz w:val="19"/>
              </w:rPr>
              <w:t>EMC</w:t>
            </w:r>
          </w:p>
        </w:tc>
        <w:tc>
          <w:tcPr>
            <w:tcW w:type="dxa" w:w="2751"/>
            <w:tcMar>
              <w:top w:w="80" w:type="dxa"/>
              <w:left w:w="80" w:type="dxa"/>
              <w:bottom w:w="80" w:type="dxa"/>
              <w:right w:w="80" w:type="dxa"/>
            </w:tcMar>
          </w:tcPr>
          <w:p>
            <w:pPr>
              <w:keepNext/>
              <w:spacing w:after="60" w:line="240" w:lineRule="auto"/>
            </w:pPr>
            <w:r>
              <w:rPr>
                <w:b/>
                <w:i w:val="0"/>
                <w:sz w:val="19"/>
              </w:rPr>
              <w:t>comparators</w:t>
            </w:r>
          </w:p>
        </w:tc>
        <w:tc>
          <w:tcPr>
            <w:tcW w:type="dxa" w:w="2062"/>
            <w:tcMar>
              <w:top w:w="80" w:type="dxa"/>
              <w:left w:w="80" w:type="dxa"/>
              <w:bottom w:w="80" w:type="dxa"/>
              <w:right w:w="80" w:type="dxa"/>
            </w:tcMar>
          </w:tcPr>
          <w:p>
            <w:pPr>
              <w:keepNext/>
              <w:spacing w:after="60" w:line="240" w:lineRule="auto"/>
            </w:pPr>
            <w:r>
              <w:rPr>
                <w:b/>
                <w:i w:val="0"/>
                <w:sz w:val="19"/>
              </w:rPr>
              <w:t>value kind</w:t>
            </w:r>
          </w:p>
        </w:tc>
      </w:tr>
      <w:tr>
        <w:trPr>
          <w:cantSplit/>
        </w:trPr>
        <w:tc>
          <w:tcPr>
            <w:tcW w:type="dxa" w:w="1263"/>
            <w:tcMar>
              <w:top w:w="80" w:type="dxa"/>
              <w:left w:w="80" w:type="dxa"/>
              <w:bottom w:w="80" w:type="dxa"/>
              <w:right w:w="80" w:type="dxa"/>
            </w:tcMar>
          </w:tcPr>
          <w:p>
            <w:pPr>
              <w:spacing w:after="60" w:line="240" w:lineRule="auto"/>
            </w:pPr>
            <w:r>
              <w:rPr>
                <w:b/>
                <w:i w:val="0"/>
                <w:sz w:val="19"/>
              </w:rPr>
              <w:t>GSE24369</w:t>
            </w:r>
          </w:p>
        </w:tc>
        <w:tc>
          <w:tcPr>
            <w:tcW w:type="dxa" w:w="1845"/>
            <w:tcMar>
              <w:top w:w="80" w:type="dxa"/>
              <w:left w:w="80" w:type="dxa"/>
              <w:bottom w:w="80" w:type="dxa"/>
              <w:right w:w="80" w:type="dxa"/>
            </w:tcMar>
          </w:tcPr>
          <w:p>
            <w:pPr>
              <w:spacing w:after="60" w:line="240" w:lineRule="auto"/>
            </w:pPr>
            <w:r>
              <w:rPr>
                <w:b w:val="0"/>
                <w:i w:val="0"/>
                <w:sz w:val="19"/>
              </w:rPr>
              <w:t>GPL6244, Affymetrix Gene ST</w:t>
            </w:r>
          </w:p>
        </w:tc>
        <w:tc>
          <w:tcPr>
            <w:tcW w:type="dxa" w:w="1263"/>
            <w:tcMar>
              <w:top w:w="80" w:type="dxa"/>
              <w:left w:w="80" w:type="dxa"/>
              <w:bottom w:w="80" w:type="dxa"/>
              <w:right w:w="80" w:type="dxa"/>
            </w:tcMar>
          </w:tcPr>
          <w:p>
            <w:pPr>
              <w:spacing w:after="60" w:line="240" w:lineRule="auto"/>
            </w:pPr>
            <w:r>
              <w:rPr>
                <w:b w:val="0"/>
                <w:i w:val="0"/>
                <w:sz w:val="19"/>
              </w:rPr>
              <w:t>6</w:t>
            </w:r>
          </w:p>
        </w:tc>
        <w:tc>
          <w:tcPr>
            <w:tcW w:type="dxa" w:w="2751"/>
            <w:tcMar>
              <w:top w:w="80" w:type="dxa"/>
              <w:left w:w="80" w:type="dxa"/>
              <w:bottom w:w="80" w:type="dxa"/>
              <w:right w:w="80" w:type="dxa"/>
            </w:tcMar>
          </w:tcPr>
          <w:p>
            <w:pPr>
              <w:spacing w:after="60" w:line="240" w:lineRule="auto"/>
            </w:pPr>
            <w:r>
              <w:rPr>
                <w:b w:val="0"/>
                <w:i w:val="0"/>
                <w:sz w:val="19"/>
              </w:rPr>
              <w:t>29 — 17 FET-rearranged LGFMS + 6 myxofibrosarcoma + 6 desmoid fibromatosis</w:t>
            </w:r>
          </w:p>
        </w:tc>
        <w:tc>
          <w:tcPr>
            <w:tcW w:type="dxa" w:w="2062"/>
            <w:tcMar>
              <w:top w:w="80" w:type="dxa"/>
              <w:left w:w="80" w:type="dxa"/>
              <w:bottom w:w="80" w:type="dxa"/>
              <w:right w:w="80" w:type="dxa"/>
            </w:tcMar>
          </w:tcPr>
          <w:p>
            <w:pPr>
              <w:spacing w:after="60" w:line="240" w:lineRule="auto"/>
            </w:pPr>
            <w:r>
              <w:rPr>
                <w:b w:val="0"/>
                <w:i w:val="0"/>
                <w:sz w:val="19"/>
              </w:rPr>
              <w:t>single-channel intensity</w:t>
            </w:r>
          </w:p>
        </w:tc>
      </w:tr>
      <w:tr>
        <w:trPr>
          <w:cantSplit/>
        </w:trPr>
        <w:tc>
          <w:tcPr>
            <w:tcW w:type="dxa" w:w="1263"/>
            <w:tcMar>
              <w:top w:w="80" w:type="dxa"/>
              <w:left w:w="80" w:type="dxa"/>
              <w:bottom w:w="80" w:type="dxa"/>
              <w:right w:w="80" w:type="dxa"/>
            </w:tcMar>
          </w:tcPr>
          <w:p>
            <w:pPr>
              <w:spacing w:after="60" w:line="240" w:lineRule="auto"/>
            </w:pPr>
            <w:r>
              <w:rPr>
                <w:b/>
                <w:i w:val="0"/>
                <w:sz w:val="19"/>
              </w:rPr>
              <w:t>GSE4303</w:t>
            </w:r>
          </w:p>
        </w:tc>
        <w:tc>
          <w:tcPr>
            <w:tcW w:type="dxa" w:w="1845"/>
            <w:tcMar>
              <w:top w:w="80" w:type="dxa"/>
              <w:left w:w="80" w:type="dxa"/>
              <w:bottom w:w="80" w:type="dxa"/>
              <w:right w:w="80" w:type="dxa"/>
            </w:tcMar>
          </w:tcPr>
          <w:p>
            <w:pPr>
              <w:spacing w:after="60" w:line="240" w:lineRule="auto"/>
            </w:pPr>
            <w:r>
              <w:rPr>
                <w:b w:val="0"/>
                <w:i w:val="0"/>
                <w:sz w:val="19"/>
              </w:rPr>
              <w:t>GPL3290, 42,000-spot two-colour cDNA</w:t>
            </w:r>
          </w:p>
        </w:tc>
        <w:tc>
          <w:tcPr>
            <w:tcW w:type="dxa" w:w="1263"/>
            <w:tcMar>
              <w:top w:w="80" w:type="dxa"/>
              <w:left w:w="80" w:type="dxa"/>
              <w:bottom w:w="80" w:type="dxa"/>
              <w:right w:w="80" w:type="dxa"/>
            </w:tcMar>
          </w:tcPr>
          <w:p>
            <w:pPr>
              <w:spacing w:after="60" w:line="240" w:lineRule="auto"/>
            </w:pPr>
            <w:r>
              <w:rPr>
                <w:b w:val="0"/>
                <w:i w:val="0"/>
                <w:sz w:val="19"/>
              </w:rPr>
              <w:t>10</w:t>
            </w:r>
          </w:p>
        </w:tc>
        <w:tc>
          <w:tcPr>
            <w:tcW w:type="dxa" w:w="2751"/>
            <w:tcMar>
              <w:top w:w="80" w:type="dxa"/>
              <w:left w:w="80" w:type="dxa"/>
              <w:bottom w:w="80" w:type="dxa"/>
              <w:right w:w="80" w:type="dxa"/>
            </w:tcMar>
          </w:tcPr>
          <w:p>
            <w:pPr>
              <w:spacing w:after="60" w:line="240" w:lineRule="auto"/>
            </w:pPr>
            <w:r>
              <w:rPr>
                <w:b w:val="0"/>
                <w:i w:val="0"/>
                <w:sz w:val="19"/>
              </w:rPr>
              <w:t>6 (3 DFSP + 3 GIST)</w:t>
            </w:r>
          </w:p>
        </w:tc>
        <w:tc>
          <w:tcPr>
            <w:tcW w:type="dxa" w:w="2062"/>
            <w:tcMar>
              <w:top w:w="80" w:type="dxa"/>
              <w:left w:w="80" w:type="dxa"/>
              <w:bottom w:w="80" w:type="dxa"/>
              <w:right w:w="80" w:type="dxa"/>
            </w:tcMar>
          </w:tcPr>
          <w:p>
            <w:pPr>
              <w:spacing w:after="60" w:line="240" w:lineRule="auto"/>
            </w:pPr>
            <w:r>
              <w:rPr>
                <w:b w:val="0"/>
                <w:i w:val="0"/>
                <w:sz w:val="19"/>
              </w:rPr>
              <w:t>two-colour log-ratio vs a reference pool</w:t>
            </w:r>
          </w:p>
        </w:tc>
      </w:tr>
      <w:tr>
        <w:trPr>
          <w:cantSplit/>
        </w:trPr>
        <w:tc>
          <w:tcPr>
            <w:tcW w:type="dxa" w:w="1263"/>
            <w:tcMar>
              <w:top w:w="80" w:type="dxa"/>
              <w:left w:w="80" w:type="dxa"/>
              <w:bottom w:w="80" w:type="dxa"/>
              <w:right w:w="80" w:type="dxa"/>
            </w:tcMar>
          </w:tcPr>
          <w:p>
            <w:pPr>
              <w:spacing w:after="60" w:line="240" w:lineRule="auto"/>
            </w:pPr>
            <w:r>
              <w:rPr>
                <w:b/>
                <w:i w:val="0"/>
                <w:sz w:val="19"/>
              </w:rPr>
              <w:t>GSE28866</w:t>
            </w:r>
          </w:p>
        </w:tc>
        <w:tc>
          <w:tcPr>
            <w:tcW w:type="dxa" w:w="1845"/>
            <w:tcMar>
              <w:top w:w="80" w:type="dxa"/>
              <w:left w:w="80" w:type="dxa"/>
              <w:bottom w:w="80" w:type="dxa"/>
              <w:right w:w="80" w:type="dxa"/>
            </w:tcMar>
          </w:tcPr>
          <w:p>
            <w:pPr>
              <w:spacing w:after="60" w:line="240" w:lineRule="auto"/>
            </w:pPr>
            <w:r>
              <w:rPr>
                <w:b w:val="0"/>
                <w:i w:val="0"/>
                <w:sz w:val="19"/>
              </w:rPr>
              <w:t>3SEQ (GPL10999)</w:t>
            </w:r>
          </w:p>
        </w:tc>
        <w:tc>
          <w:tcPr>
            <w:tcW w:type="dxa" w:w="1263"/>
            <w:tcMar>
              <w:top w:w="80" w:type="dxa"/>
              <w:left w:w="80" w:type="dxa"/>
              <w:bottom w:w="80" w:type="dxa"/>
              <w:right w:w="80" w:type="dxa"/>
            </w:tcMar>
          </w:tcPr>
          <w:p>
            <w:pPr>
              <w:spacing w:after="60" w:line="240" w:lineRule="auto"/>
            </w:pPr>
            <w:r>
              <w:rPr>
                <w:b w:val="0"/>
                <w:i w:val="0"/>
                <w:sz w:val="19"/>
              </w:rPr>
              <w:t>4</w:t>
            </w:r>
          </w:p>
        </w:tc>
        <w:tc>
          <w:tcPr>
            <w:tcW w:type="dxa" w:w="2751"/>
            <w:tcMar>
              <w:top w:w="80" w:type="dxa"/>
              <w:left w:w="80" w:type="dxa"/>
              <w:bottom w:w="80" w:type="dxa"/>
              <w:right w:w="80" w:type="dxa"/>
            </w:tcMar>
          </w:tcPr>
          <w:p>
            <w:pPr>
              <w:spacing w:after="60" w:line="240" w:lineRule="auto"/>
            </w:pPr>
            <w:r>
              <w:rPr>
                <w:b w:val="0"/>
                <w:i w:val="0"/>
                <w:sz w:val="19"/>
              </w:rPr>
              <w:t>32 non-EMC sarcoma libraries; 27 normal-organ libraries</w:t>
            </w:r>
          </w:p>
        </w:tc>
        <w:tc>
          <w:tcPr>
            <w:tcW w:type="dxa" w:w="2062"/>
            <w:tcMar>
              <w:top w:w="80" w:type="dxa"/>
              <w:left w:w="80" w:type="dxa"/>
              <w:bottom w:w="80" w:type="dxa"/>
              <w:right w:w="80" w:type="dxa"/>
            </w:tcMar>
          </w:tcPr>
          <w:p>
            <w:pPr>
              <w:spacing w:after="60" w:line="240" w:lineRule="auto"/>
            </w:pPr>
            <w:r>
              <w:rPr>
                <w:b w:val="0"/>
                <w:i w:val="0"/>
                <w:sz w:val="19"/>
              </w:rPr>
              <w:t>3′-end read density per peak</w:t>
            </w:r>
          </w:p>
        </w:tc>
      </w:tr>
    </w:tbl>
    <w:p>
      <w:pPr>
        <w:keepNext/>
        <w:spacing w:before="160"/>
      </w:pPr>
      <w:r>
        <w:rPr>
          <w:b/>
          <w:i w:val="0"/>
        </w:rPr>
        <w:t>Supplementary Table S11. The four instrument controls, graded before any biological read.</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2490"/>
        <w:gridCol w:w="3464"/>
        <w:gridCol w:w="3230"/>
      </w:tblGrid>
      <w:tr>
        <w:trPr>
          <w:cantSplit/>
          <w:tblHeader/>
        </w:trPr>
        <w:tc>
          <w:tcPr>
            <w:tcW w:type="dxa" w:w="2490"/>
            <w:tcMar>
              <w:top w:w="80" w:type="dxa"/>
              <w:left w:w="80" w:type="dxa"/>
              <w:bottom w:w="80" w:type="dxa"/>
              <w:right w:w="80" w:type="dxa"/>
            </w:tcMar>
          </w:tcPr>
          <w:p>
            <w:pPr>
              <w:keepNext/>
              <w:spacing w:after="60" w:line="240" w:lineRule="auto"/>
            </w:pPr>
            <w:r>
              <w:rPr>
                <w:b/>
                <w:i w:val="0"/>
                <w:sz w:val="19"/>
              </w:rPr>
              <w:t>control</w:t>
            </w:r>
          </w:p>
        </w:tc>
        <w:tc>
          <w:tcPr>
            <w:tcW w:type="dxa" w:w="3464"/>
            <w:tcMar>
              <w:top w:w="80" w:type="dxa"/>
              <w:left w:w="80" w:type="dxa"/>
              <w:bottom w:w="80" w:type="dxa"/>
              <w:right w:w="80" w:type="dxa"/>
            </w:tcMar>
          </w:tcPr>
          <w:p>
            <w:pPr>
              <w:keepNext/>
              <w:spacing w:after="60" w:line="240" w:lineRule="auto"/>
            </w:pPr>
            <w:r>
              <w:rPr>
                <w:b/>
                <w:i w:val="0"/>
                <w:sz w:val="19"/>
              </w:rPr>
              <w:t>GPL6244</w:t>
            </w:r>
          </w:p>
        </w:tc>
        <w:tc>
          <w:tcPr>
            <w:tcW w:type="dxa" w:w="3230"/>
            <w:tcMar>
              <w:top w:w="80" w:type="dxa"/>
              <w:left w:w="80" w:type="dxa"/>
              <w:bottom w:w="80" w:type="dxa"/>
              <w:right w:w="80" w:type="dxa"/>
            </w:tcMar>
          </w:tcPr>
          <w:p>
            <w:pPr>
              <w:keepNext/>
              <w:spacing w:after="60" w:line="240" w:lineRule="auto"/>
            </w:pPr>
            <w:r>
              <w:rPr>
                <w:b/>
                <w:i w:val="0"/>
                <w:sz w:val="19"/>
              </w:rPr>
              <w:t>GPL3290</w:t>
            </w:r>
          </w:p>
        </w:tc>
      </w:tr>
      <w:tr>
        <w:trPr>
          <w:cantSplit/>
        </w:trPr>
        <w:tc>
          <w:tcPr>
            <w:tcW w:type="dxa" w:w="2490"/>
            <w:tcMar>
              <w:top w:w="80" w:type="dxa"/>
              <w:left w:w="80" w:type="dxa"/>
              <w:bottom w:w="80" w:type="dxa"/>
              <w:right w:w="80" w:type="dxa"/>
            </w:tcMar>
          </w:tcPr>
          <w:p>
            <w:pPr>
              <w:spacing w:after="60" w:line="240" w:lineRule="auto"/>
            </w:pPr>
            <w:r>
              <w:rPr>
                <w:b/>
                <w:i/>
                <w:sz w:val="19"/>
              </w:rPr>
              <w:t>ENO3</w:t>
            </w:r>
            <w:r>
              <w:rPr>
                <w:b w:val="0"/>
                <w:i w:val="0"/>
                <w:sz w:val="19"/>
              </w:rPr>
              <w:t xml:space="preserve"> (positive)</w:t>
            </w:r>
          </w:p>
        </w:tc>
        <w:tc>
          <w:tcPr>
            <w:tcW w:type="dxa" w:w="3464"/>
            <w:tcMar>
              <w:top w:w="80" w:type="dxa"/>
              <w:left w:w="80" w:type="dxa"/>
              <w:bottom w:w="80" w:type="dxa"/>
              <w:right w:w="80" w:type="dxa"/>
            </w:tcMar>
          </w:tcPr>
          <w:p>
            <w:pPr>
              <w:spacing w:after="60" w:line="240" w:lineRule="auto"/>
            </w:pPr>
            <w:r>
              <w:rPr>
                <w:b w:val="0"/>
                <w:i w:val="0"/>
                <w:sz w:val="19"/>
              </w:rPr>
              <w:t>AGREES — d +0.8075, outside null, p_emp 0.0195</w:t>
            </w:r>
          </w:p>
        </w:tc>
        <w:tc>
          <w:tcPr>
            <w:tcW w:type="dxa" w:w="3230"/>
            <w:tcMar>
              <w:top w:w="80" w:type="dxa"/>
              <w:left w:w="80" w:type="dxa"/>
              <w:bottom w:w="80" w:type="dxa"/>
              <w:right w:w="80" w:type="dxa"/>
            </w:tcMar>
          </w:tcPr>
          <w:p>
            <w:pPr>
              <w:spacing w:after="60" w:line="240" w:lineRule="auto"/>
            </w:pPr>
            <w:r>
              <w:rPr>
                <w:b w:val="0"/>
                <w:i w:val="0"/>
                <w:sz w:val="19"/>
              </w:rPr>
              <w:t>AGREES — d +3.8113, outside null, p_emp 0.00054</w:t>
            </w:r>
          </w:p>
        </w:tc>
      </w:tr>
      <w:tr>
        <w:trPr>
          <w:cantSplit/>
        </w:trPr>
        <w:tc>
          <w:tcPr>
            <w:tcW w:type="dxa" w:w="2490"/>
            <w:tcMar>
              <w:top w:w="80" w:type="dxa"/>
              <w:left w:w="80" w:type="dxa"/>
              <w:bottom w:w="80" w:type="dxa"/>
              <w:right w:w="80" w:type="dxa"/>
            </w:tcMar>
          </w:tcPr>
          <w:p>
            <w:pPr>
              <w:spacing w:after="60" w:line="240" w:lineRule="auto"/>
            </w:pPr>
            <w:r>
              <w:rPr>
                <w:b/>
                <w:i/>
                <w:sz w:val="19"/>
              </w:rPr>
              <w:t>NR4A3</w:t>
            </w:r>
            <w:r>
              <w:rPr>
                <w:b w:val="0"/>
                <w:i w:val="0"/>
                <w:sz w:val="19"/>
              </w:rPr>
              <w:t xml:space="preserve"> (tumour identity)</w:t>
            </w:r>
          </w:p>
        </w:tc>
        <w:tc>
          <w:tcPr>
            <w:tcW w:type="dxa" w:w="3464"/>
            <w:tcMar>
              <w:top w:w="80" w:type="dxa"/>
              <w:left w:w="80" w:type="dxa"/>
              <w:bottom w:w="80" w:type="dxa"/>
              <w:right w:w="80" w:type="dxa"/>
            </w:tcMar>
          </w:tcPr>
          <w:p>
            <w:pPr>
              <w:spacing w:after="60" w:line="240" w:lineRule="auto"/>
            </w:pPr>
            <w:r>
              <w:rPr>
                <w:b w:val="0"/>
                <w:i w:val="0"/>
                <w:sz w:val="19"/>
              </w:rPr>
              <w:t>AGREES — d +0.7415, outside null, p_emp 0.0240</w:t>
            </w:r>
          </w:p>
        </w:tc>
        <w:tc>
          <w:tcPr>
            <w:tcW w:type="dxa" w:w="3230"/>
            <w:tcMar>
              <w:top w:w="80" w:type="dxa"/>
              <w:left w:w="80" w:type="dxa"/>
              <w:bottom w:w="80" w:type="dxa"/>
              <w:right w:w="80" w:type="dxa"/>
            </w:tcMar>
          </w:tcPr>
          <w:p>
            <w:pPr>
              <w:spacing w:after="60" w:line="240" w:lineRule="auto"/>
            </w:pPr>
            <w:r>
              <w:rPr>
                <w:b w:val="0"/>
                <w:i w:val="0"/>
                <w:sz w:val="19"/>
              </w:rPr>
              <w:t>not measurable — 2 comparator values against a floor of 3</w:t>
            </w:r>
          </w:p>
        </w:tc>
      </w:tr>
      <w:tr>
        <w:trPr>
          <w:cantSplit/>
        </w:trPr>
        <w:tc>
          <w:tcPr>
            <w:tcW w:type="dxa" w:w="2490"/>
            <w:tcMar>
              <w:top w:w="80" w:type="dxa"/>
              <w:left w:w="80" w:type="dxa"/>
              <w:bottom w:w="80" w:type="dxa"/>
              <w:right w:w="80" w:type="dxa"/>
            </w:tcMar>
          </w:tcPr>
          <w:p>
            <w:pPr>
              <w:spacing w:after="60" w:line="240" w:lineRule="auto"/>
            </w:pPr>
            <w:r>
              <w:rPr>
                <w:b/>
                <w:i/>
                <w:sz w:val="19"/>
              </w:rPr>
              <w:t>PLAGL1</w:t>
            </w:r>
            <w:r>
              <w:rPr>
                <w:b w:val="0"/>
                <w:i w:val="0"/>
                <w:sz w:val="19"/>
              </w:rPr>
              <w:t xml:space="preserve"> (directional falsifier)</w:t>
            </w:r>
          </w:p>
        </w:tc>
        <w:tc>
          <w:tcPr>
            <w:tcW w:type="dxa" w:w="3464"/>
            <w:tcMar>
              <w:top w:w="80" w:type="dxa"/>
              <w:left w:w="80" w:type="dxa"/>
              <w:bottom w:w="80" w:type="dxa"/>
              <w:right w:w="80" w:type="dxa"/>
            </w:tcMar>
          </w:tcPr>
          <w:p>
            <w:pPr>
              <w:spacing w:after="60" w:line="240" w:lineRule="auto"/>
            </w:pPr>
            <w:r>
              <w:t>inside competitive null; not graded by the retained control rule — d −0.4235, band [−0.606, +0.529]</w:t>
            </w:r>
          </w:p>
        </w:tc>
        <w:tc>
          <w:tcPr>
            <w:tcW w:type="dxa" w:w="3230"/>
            <w:tcMar>
              <w:top w:w="80" w:type="dxa"/>
              <w:left w:w="80" w:type="dxa"/>
              <w:bottom w:w="80" w:type="dxa"/>
              <w:right w:w="80" w:type="dxa"/>
            </w:tcMar>
          </w:tcPr>
          <w:p>
            <w:pPr>
              <w:spacing w:after="60" w:line="240" w:lineRule="auto"/>
            </w:pPr>
            <w:r>
              <w:rPr>
                <w:b w:val="0"/>
                <w:i w:val="0"/>
                <w:sz w:val="19"/>
              </w:rPr>
              <w:t>AGREES — d −2.134, outside null, p_emp 0.013</w:t>
            </w:r>
          </w:p>
        </w:tc>
      </w:tr>
      <w:tr>
        <w:trPr>
          <w:cantSplit/>
        </w:trPr>
        <w:tc>
          <w:tcPr>
            <w:tcW w:type="dxa" w:w="2490"/>
            <w:tcMar>
              <w:top w:w="80" w:type="dxa"/>
              <w:left w:w="80" w:type="dxa"/>
              <w:bottom w:w="80" w:type="dxa"/>
              <w:right w:w="80" w:type="dxa"/>
            </w:tcMar>
          </w:tcPr>
          <w:p>
            <w:pPr>
              <w:spacing w:after="60" w:line="240" w:lineRule="auto"/>
            </w:pPr>
            <w:r>
              <w:rPr>
                <w:b/>
                <w:i/>
                <w:sz w:val="19"/>
              </w:rPr>
              <w:t>SGK1</w:t>
            </w:r>
            <w:r>
              <w:rPr>
                <w:b w:val="0"/>
                <w:i w:val="0"/>
                <w:sz w:val="19"/>
              </w:rPr>
              <w:t xml:space="preserve"> (transcript/protein discordance)</w:t>
            </w:r>
          </w:p>
        </w:tc>
        <w:tc>
          <w:tcPr>
            <w:tcW w:type="dxa" w:w="3464"/>
            <w:tcMar>
              <w:top w:w="80" w:type="dxa"/>
              <w:left w:w="80" w:type="dxa"/>
              <w:bottom w:w="80" w:type="dxa"/>
              <w:right w:w="80" w:type="dxa"/>
            </w:tcMar>
          </w:tcPr>
          <w:p>
            <w:pPr>
              <w:spacing w:after="60" w:line="240" w:lineRule="auto"/>
            </w:pPr>
            <w:r>
              <w:rPr>
                <w:b w:val="0"/>
                <w:i w:val="0"/>
                <w:sz w:val="19"/>
              </w:rPr>
              <w:t>AGREES (flat) — d −0.1807, band [−0.606, +0.529]</w:t>
            </w:r>
          </w:p>
        </w:tc>
        <w:tc>
          <w:tcPr>
            <w:tcW w:type="dxa" w:w="3230"/>
            <w:tcMar>
              <w:top w:w="80" w:type="dxa"/>
              <w:left w:w="80" w:type="dxa"/>
              <w:bottom w:w="80" w:type="dxa"/>
              <w:right w:w="80" w:type="dxa"/>
            </w:tcMar>
          </w:tcPr>
          <w:p>
            <w:pPr>
              <w:spacing w:after="60" w:line="240" w:lineRule="auto"/>
            </w:pPr>
            <w:r>
              <w:rPr>
                <w:b w:val="0"/>
                <w:i w:val="0"/>
                <w:sz w:val="19"/>
              </w:rPr>
              <w:t>AGREES (flat) — d +0.6156, band [−1.314, +1.410]</w:t>
            </w:r>
          </w:p>
        </w:tc>
      </w:tr>
    </w:tbl>
    <w:p>
      <w:pPr>
        <w:keepNext/>
        <w:spacing w:before="160"/>
      </w:pPr>
      <w:r>
        <w:rPr>
          <w:b/>
          <w:i w:val="0"/>
        </w:rPr>
        <w:t>Supplementary Table S12. The same contrast against each comparator sub-arm separately.</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438"/>
        <w:gridCol w:w="1899"/>
        <w:gridCol w:w="1762"/>
        <w:gridCol w:w="1817"/>
        <w:gridCol w:w="2269"/>
      </w:tblGrid>
      <w:tr>
        <w:trPr>
          <w:cantSplit/>
          <w:tblHeader/>
        </w:trPr>
        <w:tc>
          <w:tcPr>
            <w:tcW w:type="dxa" w:w="1438"/>
            <w:tcMar>
              <w:top w:w="80" w:type="dxa"/>
              <w:left w:w="80" w:type="dxa"/>
              <w:bottom w:w="80" w:type="dxa"/>
              <w:right w:w="80" w:type="dxa"/>
            </w:tcMar>
          </w:tcPr>
          <w:p>
            <w:pPr>
              <w:keepNext/>
              <w:spacing w:after="60" w:line="240" w:lineRule="auto"/>
            </w:pPr>
            <w:r>
              <w:rPr>
                <w:b/>
                <w:i w:val="0"/>
                <w:sz w:val="19"/>
              </w:rPr>
              <w:t>gene</w:t>
            </w:r>
          </w:p>
        </w:tc>
        <w:tc>
          <w:tcPr>
            <w:tcW w:type="dxa" w:w="1899"/>
            <w:tcMar>
              <w:top w:w="80" w:type="dxa"/>
              <w:left w:w="80" w:type="dxa"/>
              <w:bottom w:w="80" w:type="dxa"/>
              <w:right w:w="80" w:type="dxa"/>
            </w:tcMar>
          </w:tcPr>
          <w:p>
            <w:pPr>
              <w:keepNext/>
              <w:spacing w:after="60" w:line="240" w:lineRule="auto"/>
            </w:pPr>
            <w:r>
              <w:rPr>
                <w:b/>
                <w:i w:val="0"/>
                <w:sz w:val="19"/>
              </w:rPr>
              <w:t>vs LGFMS only (17)</w:t>
            </w:r>
          </w:p>
        </w:tc>
        <w:tc>
          <w:tcPr>
            <w:tcW w:type="dxa" w:w="1762"/>
            <w:tcMar>
              <w:top w:w="80" w:type="dxa"/>
              <w:left w:w="80" w:type="dxa"/>
              <w:bottom w:w="80" w:type="dxa"/>
              <w:right w:w="80" w:type="dxa"/>
            </w:tcMar>
          </w:tcPr>
          <w:p>
            <w:pPr>
              <w:keepNext/>
              <w:spacing w:after="60" w:line="240" w:lineRule="auto"/>
            </w:pPr>
            <w:r>
              <w:rPr>
                <w:b/>
                <w:i w:val="0"/>
                <w:sz w:val="19"/>
              </w:rPr>
              <w:t>vs myxoid only (23)</w:t>
            </w:r>
          </w:p>
        </w:tc>
        <w:tc>
          <w:tcPr>
            <w:tcW w:type="dxa" w:w="1817"/>
            <w:tcMar>
              <w:top w:w="80" w:type="dxa"/>
              <w:left w:w="80" w:type="dxa"/>
              <w:bottom w:w="80" w:type="dxa"/>
              <w:right w:w="80" w:type="dxa"/>
            </w:tcMar>
          </w:tcPr>
          <w:p>
            <w:pPr>
              <w:keepNext/>
              <w:spacing w:after="60" w:line="240" w:lineRule="auto"/>
            </w:pPr>
            <w:r>
              <w:rPr>
                <w:b/>
                <w:i w:val="0"/>
                <w:sz w:val="19"/>
              </w:rPr>
              <w:t>vs non-myxoid only (6)</w:t>
            </w:r>
          </w:p>
        </w:tc>
        <w:tc>
          <w:tcPr>
            <w:tcW w:type="dxa" w:w="2269"/>
            <w:tcMar>
              <w:top w:w="80" w:type="dxa"/>
              <w:left w:w="80" w:type="dxa"/>
              <w:bottom w:w="80" w:type="dxa"/>
              <w:right w:w="80" w:type="dxa"/>
            </w:tcMar>
          </w:tcPr>
          <w:p>
            <w:pPr>
              <w:keepNext/>
              <w:spacing w:after="60" w:line="240" w:lineRule="auto"/>
            </w:pPr>
            <w:r>
              <w:rPr>
                <w:b/>
                <w:i w:val="0"/>
                <w:sz w:val="19"/>
              </w:rPr>
              <w:t>GPL3290, pool-matched only (3)</w:t>
            </w:r>
          </w:p>
        </w:tc>
      </w:tr>
      <w:tr>
        <w:trPr>
          <w:cantSplit/>
        </w:trPr>
        <w:tc>
          <w:tcPr>
            <w:tcW w:type="dxa" w:w="1438"/>
            <w:tcMar>
              <w:top w:w="80" w:type="dxa"/>
              <w:left w:w="80" w:type="dxa"/>
              <w:bottom w:w="80" w:type="dxa"/>
              <w:right w:w="80" w:type="dxa"/>
            </w:tcMar>
          </w:tcPr>
          <w:p>
            <w:pPr>
              <w:spacing w:after="60" w:line="240" w:lineRule="auto"/>
            </w:pPr>
            <w:r>
              <w:rPr>
                <w:b/>
                <w:i w:val="0"/>
                <w:sz w:val="19"/>
              </w:rPr>
              <w:t>ENO3</w:t>
            </w:r>
          </w:p>
        </w:tc>
        <w:tc>
          <w:tcPr>
            <w:tcW w:type="dxa" w:w="1899"/>
            <w:tcMar>
              <w:top w:w="80" w:type="dxa"/>
              <w:left w:w="80" w:type="dxa"/>
              <w:bottom w:w="80" w:type="dxa"/>
              <w:right w:w="80" w:type="dxa"/>
            </w:tcMar>
          </w:tcPr>
          <w:p>
            <w:pPr>
              <w:spacing w:after="60" w:line="240" w:lineRule="auto"/>
            </w:pPr>
            <w:r>
              <w:rPr>
                <w:b/>
                <w:i w:val="0"/>
                <w:sz w:val="19"/>
              </w:rPr>
              <w:t>+0.805</w:t>
            </w:r>
            <w:r>
              <w:rPr>
                <w:b w:val="0"/>
                <w:i w:val="0"/>
                <w:sz w:val="19"/>
              </w:rPr>
              <w:t xml:space="preserve"> (1.7 × 10⁻⁴)</w:t>
            </w:r>
          </w:p>
        </w:tc>
        <w:tc>
          <w:tcPr>
            <w:tcW w:type="dxa" w:w="1762"/>
            <w:tcMar>
              <w:top w:w="80" w:type="dxa"/>
              <w:left w:w="80" w:type="dxa"/>
              <w:bottom w:w="80" w:type="dxa"/>
              <w:right w:w="80" w:type="dxa"/>
            </w:tcMar>
          </w:tcPr>
          <w:p>
            <w:pPr>
              <w:spacing w:after="60" w:line="240" w:lineRule="auto"/>
            </w:pPr>
            <w:r>
              <w:rPr>
                <w:b/>
                <w:i w:val="0"/>
                <w:sz w:val="19"/>
              </w:rPr>
              <w:t>+0.808</w:t>
            </w:r>
            <w:r>
              <w:rPr>
                <w:b w:val="0"/>
                <w:i w:val="0"/>
                <w:sz w:val="19"/>
              </w:rPr>
              <w:t xml:space="preserve"> (8 × 10⁻⁵)</w:t>
            </w:r>
          </w:p>
        </w:tc>
        <w:tc>
          <w:tcPr>
            <w:tcW w:type="dxa" w:w="1817"/>
            <w:tcMar>
              <w:top w:w="80" w:type="dxa"/>
              <w:left w:w="80" w:type="dxa"/>
              <w:bottom w:w="80" w:type="dxa"/>
              <w:right w:w="80" w:type="dxa"/>
            </w:tcMar>
          </w:tcPr>
          <w:p>
            <w:pPr>
              <w:spacing w:after="60" w:line="240" w:lineRule="auto"/>
            </w:pPr>
            <w:r>
              <w:rPr>
                <w:b/>
                <w:i w:val="0"/>
                <w:sz w:val="19"/>
              </w:rPr>
              <w:t>+0.807</w:t>
            </w:r>
            <w:r>
              <w:rPr>
                <w:b w:val="0"/>
                <w:i w:val="0"/>
                <w:sz w:val="19"/>
              </w:rPr>
              <w:t xml:space="preserve"> (0.022)</w:t>
            </w:r>
          </w:p>
        </w:tc>
        <w:tc>
          <w:tcPr>
            <w:tcW w:type="dxa" w:w="2269"/>
            <w:tcMar>
              <w:top w:w="80" w:type="dxa"/>
              <w:left w:w="80" w:type="dxa"/>
              <w:bottom w:w="80" w:type="dxa"/>
              <w:right w:w="80" w:type="dxa"/>
            </w:tcMar>
          </w:tcPr>
          <w:p>
            <w:pPr>
              <w:spacing w:after="60" w:line="240" w:lineRule="auto"/>
            </w:pPr>
            <w:r>
              <w:rPr>
                <w:b/>
                <w:i w:val="0"/>
                <w:sz w:val="19"/>
              </w:rPr>
              <w:t>+3.515</w:t>
            </w:r>
            <w:r>
              <w:rPr>
                <w:b w:val="0"/>
                <w:i w:val="0"/>
                <w:sz w:val="19"/>
              </w:rPr>
              <w:t xml:space="preserve"> (0.0035, the design floor)</w:t>
            </w:r>
          </w:p>
        </w:tc>
      </w:tr>
      <w:tr>
        <w:trPr>
          <w:cantSplit/>
        </w:trPr>
        <w:tc>
          <w:tcPr>
            <w:tcW w:type="dxa" w:w="1438"/>
            <w:tcMar>
              <w:top w:w="80" w:type="dxa"/>
              <w:left w:w="80" w:type="dxa"/>
              <w:bottom w:w="80" w:type="dxa"/>
              <w:right w:w="80" w:type="dxa"/>
            </w:tcMar>
          </w:tcPr>
          <w:p>
            <w:pPr>
              <w:spacing w:after="60" w:line="240" w:lineRule="auto"/>
            </w:pPr>
            <w:r>
              <w:rPr>
                <w:b/>
                <w:i w:val="0"/>
                <w:sz w:val="19"/>
              </w:rPr>
              <w:t>PPARG</w:t>
            </w:r>
          </w:p>
        </w:tc>
        <w:tc>
          <w:tcPr>
            <w:tcW w:type="dxa" w:w="1899"/>
            <w:tcMar>
              <w:top w:w="80" w:type="dxa"/>
              <w:left w:w="80" w:type="dxa"/>
              <w:bottom w:w="80" w:type="dxa"/>
              <w:right w:w="80" w:type="dxa"/>
            </w:tcMar>
          </w:tcPr>
          <w:p>
            <w:pPr>
              <w:spacing w:after="60" w:line="240" w:lineRule="auto"/>
            </w:pPr>
            <w:r>
              <w:rPr>
                <w:b w:val="0"/>
                <w:i w:val="0"/>
                <w:sz w:val="19"/>
              </w:rPr>
              <w:t>+0.197 (0.220)</w:t>
            </w:r>
          </w:p>
        </w:tc>
        <w:tc>
          <w:tcPr>
            <w:tcW w:type="dxa" w:w="1762"/>
            <w:tcMar>
              <w:top w:w="80" w:type="dxa"/>
              <w:left w:w="80" w:type="dxa"/>
              <w:bottom w:w="80" w:type="dxa"/>
              <w:right w:w="80" w:type="dxa"/>
            </w:tcMar>
          </w:tcPr>
          <w:p>
            <w:pPr>
              <w:spacing w:after="60" w:line="240" w:lineRule="auto"/>
            </w:pPr>
            <w:r>
              <w:rPr>
                <w:b w:val="0"/>
                <w:i w:val="0"/>
                <w:sz w:val="19"/>
              </w:rPr>
              <w:t>+0.264 (0.100)</w:t>
            </w:r>
          </w:p>
        </w:tc>
        <w:tc>
          <w:tcPr>
            <w:tcW w:type="dxa" w:w="1817"/>
            <w:tcMar>
              <w:top w:w="80" w:type="dxa"/>
              <w:left w:w="80" w:type="dxa"/>
              <w:bottom w:w="80" w:type="dxa"/>
              <w:right w:w="80" w:type="dxa"/>
            </w:tcMar>
          </w:tcPr>
          <w:p>
            <w:pPr>
              <w:spacing w:after="60" w:line="240" w:lineRule="auto"/>
            </w:pPr>
            <w:r>
              <w:rPr>
                <w:b w:val="0"/>
                <w:i w:val="0"/>
                <w:sz w:val="19"/>
              </w:rPr>
              <w:t>+0.473 (0.043)</w:t>
            </w:r>
          </w:p>
        </w:tc>
        <w:tc>
          <w:tcPr>
            <w:tcW w:type="dxa" w:w="2269"/>
            <w:tcMar>
              <w:top w:w="80" w:type="dxa"/>
              <w:left w:w="80" w:type="dxa"/>
              <w:bottom w:w="80" w:type="dxa"/>
              <w:right w:w="80" w:type="dxa"/>
            </w:tcMar>
          </w:tcPr>
          <w:p>
            <w:pPr>
              <w:spacing w:after="60" w:line="240" w:lineRule="auto"/>
            </w:pPr>
            <w:r>
              <w:rPr>
                <w:b w:val="0"/>
                <w:i w:val="0"/>
                <w:sz w:val="19"/>
              </w:rPr>
              <w:t>+2.679 (0.0035) — circular</w:t>
            </w:r>
          </w:p>
        </w:tc>
      </w:tr>
      <w:tr>
        <w:trPr>
          <w:cantSplit/>
        </w:trPr>
        <w:tc>
          <w:tcPr>
            <w:tcW w:type="dxa" w:w="1438"/>
            <w:tcMar>
              <w:top w:w="80" w:type="dxa"/>
              <w:left w:w="80" w:type="dxa"/>
              <w:bottom w:w="80" w:type="dxa"/>
              <w:right w:w="80" w:type="dxa"/>
            </w:tcMar>
          </w:tcPr>
          <w:p>
            <w:pPr>
              <w:spacing w:after="60" w:line="240" w:lineRule="auto"/>
            </w:pPr>
            <w:r>
              <w:rPr>
                <w:b/>
                <w:i w:val="0"/>
                <w:sz w:val="19"/>
              </w:rPr>
              <w:t>SEMA3C</w:t>
            </w:r>
          </w:p>
        </w:tc>
        <w:tc>
          <w:tcPr>
            <w:tcW w:type="dxa" w:w="1899"/>
            <w:tcMar>
              <w:top w:w="80" w:type="dxa"/>
              <w:left w:w="80" w:type="dxa"/>
              <w:bottom w:w="80" w:type="dxa"/>
              <w:right w:w="80" w:type="dxa"/>
            </w:tcMar>
          </w:tcPr>
          <w:p>
            <w:pPr>
              <w:spacing w:after="60" w:line="240" w:lineRule="auto"/>
            </w:pPr>
            <w:r>
              <w:rPr>
                <w:b/>
                <w:i w:val="0"/>
                <w:sz w:val="19"/>
              </w:rPr>
              <w:t>+1.657</w:t>
            </w:r>
            <w:r>
              <w:rPr>
                <w:b w:val="0"/>
                <w:i w:val="0"/>
                <w:sz w:val="19"/>
              </w:rPr>
              <w:t xml:space="preserve"> (1.2 × 10⁻⁴)</w:t>
            </w:r>
          </w:p>
        </w:tc>
        <w:tc>
          <w:tcPr>
            <w:tcW w:type="dxa" w:w="1762"/>
            <w:tcMar>
              <w:top w:w="80" w:type="dxa"/>
              <w:left w:w="80" w:type="dxa"/>
              <w:bottom w:w="80" w:type="dxa"/>
              <w:right w:w="80" w:type="dxa"/>
            </w:tcMar>
          </w:tcPr>
          <w:p>
            <w:pPr>
              <w:spacing w:after="60" w:line="240" w:lineRule="auto"/>
            </w:pPr>
            <w:r>
              <w:rPr>
                <w:b w:val="0"/>
                <w:i w:val="0"/>
                <w:sz w:val="19"/>
              </w:rPr>
              <w:t>+1.089 (0.046)</w:t>
            </w:r>
          </w:p>
        </w:tc>
        <w:tc>
          <w:tcPr>
            <w:tcW w:type="dxa" w:w="1817"/>
            <w:tcMar>
              <w:top w:w="80" w:type="dxa"/>
              <w:left w:w="80" w:type="dxa"/>
              <w:bottom w:w="80" w:type="dxa"/>
              <w:right w:w="80" w:type="dxa"/>
            </w:tcMar>
          </w:tcPr>
          <w:p>
            <w:pPr>
              <w:spacing w:after="60" w:line="240" w:lineRule="auto"/>
            </w:pPr>
            <w:r>
              <w:rPr>
                <w:b/>
                <w:i w:val="0"/>
                <w:sz w:val="19"/>
              </w:rPr>
              <w:t>−0.645</w:t>
            </w:r>
            <w:r>
              <w:rPr>
                <w:b w:val="0"/>
                <w:i w:val="0"/>
                <w:sz w:val="19"/>
              </w:rPr>
              <w:t xml:space="preserve"> (0.015)</w:t>
            </w:r>
          </w:p>
        </w:tc>
        <w:tc>
          <w:tcPr>
            <w:tcW w:type="dxa" w:w="2269"/>
            <w:tcMar>
              <w:top w:w="80" w:type="dxa"/>
              <w:left w:w="80" w:type="dxa"/>
              <w:bottom w:w="80" w:type="dxa"/>
              <w:right w:w="80" w:type="dxa"/>
            </w:tcMar>
          </w:tcPr>
          <w:p>
            <w:pPr>
              <w:spacing w:after="60" w:line="240" w:lineRule="auto"/>
            </w:pPr>
            <w:r>
              <w:rPr>
                <w:b w:val="0"/>
                <w:i w:val="0"/>
                <w:sz w:val="19"/>
              </w:rPr>
              <w:t>+0.113 (0.843)</w:t>
            </w:r>
          </w:p>
        </w:tc>
      </w:tr>
      <w:tr>
        <w:trPr>
          <w:cantSplit/>
        </w:trPr>
        <w:tc>
          <w:tcPr>
            <w:tcW w:type="dxa" w:w="1438"/>
            <w:tcMar>
              <w:top w:w="80" w:type="dxa"/>
              <w:left w:w="80" w:type="dxa"/>
              <w:bottom w:w="80" w:type="dxa"/>
              <w:right w:w="80" w:type="dxa"/>
            </w:tcMar>
          </w:tcPr>
          <w:p>
            <w:pPr>
              <w:spacing w:after="60" w:line="240" w:lineRule="auto"/>
            </w:pPr>
            <w:r>
              <w:rPr>
                <w:b w:val="0"/>
                <w:i/>
                <w:sz w:val="19"/>
              </w:rPr>
              <w:t>PLAGL1</w:t>
            </w:r>
          </w:p>
        </w:tc>
        <w:tc>
          <w:tcPr>
            <w:tcW w:type="dxa" w:w="1899"/>
            <w:tcMar>
              <w:top w:w="80" w:type="dxa"/>
              <w:left w:w="80" w:type="dxa"/>
              <w:bottom w:w="80" w:type="dxa"/>
              <w:right w:w="80" w:type="dxa"/>
            </w:tcMar>
          </w:tcPr>
          <w:p>
            <w:pPr>
              <w:spacing w:after="60" w:line="240" w:lineRule="auto"/>
            </w:pPr>
            <w:r>
              <w:rPr>
                <w:b w:val="0"/>
                <w:i w:val="0"/>
                <w:sz w:val="19"/>
              </w:rPr>
              <w:t>−0.169 (0.431)</w:t>
            </w:r>
          </w:p>
        </w:tc>
        <w:tc>
          <w:tcPr>
            <w:tcW w:type="dxa" w:w="1762"/>
            <w:tcMar>
              <w:top w:w="80" w:type="dxa"/>
              <w:left w:w="80" w:type="dxa"/>
              <w:bottom w:w="80" w:type="dxa"/>
              <w:right w:w="80" w:type="dxa"/>
            </w:tcMar>
          </w:tcPr>
          <w:p>
            <w:pPr>
              <w:spacing w:after="60" w:line="240" w:lineRule="auto"/>
            </w:pPr>
            <w:r>
              <w:rPr>
                <w:b w:val="0"/>
                <w:i w:val="0"/>
                <w:sz w:val="19"/>
              </w:rPr>
              <w:t>−0.343 (0.183)</w:t>
            </w:r>
          </w:p>
        </w:tc>
        <w:tc>
          <w:tcPr>
            <w:tcW w:type="dxa" w:w="1817"/>
            <w:tcMar>
              <w:top w:w="80" w:type="dxa"/>
              <w:left w:w="80" w:type="dxa"/>
              <w:bottom w:w="80" w:type="dxa"/>
              <w:right w:w="80" w:type="dxa"/>
            </w:tcMar>
          </w:tcPr>
          <w:p>
            <w:pPr>
              <w:spacing w:after="60" w:line="240" w:lineRule="auto"/>
            </w:pPr>
            <w:r>
              <w:rPr>
                <w:b w:val="0"/>
                <w:i w:val="0"/>
                <w:sz w:val="19"/>
              </w:rPr>
              <w:t>−0.733 (0.043)</w:t>
            </w:r>
          </w:p>
        </w:tc>
        <w:tc>
          <w:tcPr>
            <w:tcW w:type="dxa" w:w="2269"/>
            <w:tcMar>
              <w:top w:w="80" w:type="dxa"/>
              <w:left w:w="80" w:type="dxa"/>
              <w:bottom w:w="80" w:type="dxa"/>
              <w:right w:w="80" w:type="dxa"/>
            </w:tcMar>
          </w:tcPr>
          <w:p>
            <w:pPr>
              <w:spacing w:after="60" w:line="240" w:lineRule="auto"/>
            </w:pPr>
            <w:r>
              <w:rPr>
                <w:b w:val="0"/>
                <w:i w:val="0"/>
                <w:sz w:val="19"/>
              </w:rPr>
              <w:t>−1.659 (0.042)</w:t>
            </w:r>
          </w:p>
        </w:tc>
      </w:tr>
    </w:tbl>
    <w:p>
      <w:pPr>
        <w:keepNext/>
        <w:spacing w:before="160"/>
      </w:pPr>
      <w:r>
        <w:rPr>
          <w:b/>
          <w:i w:val="0"/>
        </w:rPr>
        <w:t>Supplementary Table S13. The 3SEQ cohort, calibrated on each axis against the genes in the deposit that have a computable ratio on that axis: 13,708 genes on the EMC/normal axis and 13,247 on the EMC/sarcoma axis, out of 14,120 genes present in the deposit.</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531"/>
        <w:gridCol w:w="1531"/>
        <w:gridCol w:w="1531"/>
        <w:gridCol w:w="1531"/>
        <w:gridCol w:w="1531"/>
        <w:gridCol w:w="1531"/>
      </w:tblGrid>
      <w:tr>
        <w:trPr>
          <w:cantSplit/>
          <w:tblHeader/>
        </w:trPr>
        <w:tc>
          <w:tcPr>
            <w:tcW w:type="dxa" w:w="1531"/>
            <w:tcMar>
              <w:top w:w="80" w:type="dxa"/>
              <w:left w:w="80" w:type="dxa"/>
              <w:bottom w:w="80" w:type="dxa"/>
              <w:right w:w="80" w:type="dxa"/>
            </w:tcMar>
          </w:tcPr>
          <w:p>
            <w:pPr>
              <w:keepNext/>
              <w:spacing w:after="60" w:line="240" w:lineRule="auto"/>
            </w:pPr>
            <w:r>
              <w:rPr>
                <w:b/>
                <w:i w:val="0"/>
                <w:sz w:val="19"/>
              </w:rPr>
              <w:t>gene</w:t>
            </w:r>
          </w:p>
        </w:tc>
        <w:tc>
          <w:tcPr>
            <w:tcW w:type="dxa" w:w="1531"/>
            <w:tcMar>
              <w:top w:w="80" w:type="dxa"/>
              <w:left w:w="80" w:type="dxa"/>
              <w:bottom w:w="80" w:type="dxa"/>
              <w:right w:w="80" w:type="dxa"/>
            </w:tcMar>
          </w:tcPr>
          <w:p>
            <w:pPr>
              <w:keepNext/>
              <w:spacing w:after="60" w:line="240" w:lineRule="auto"/>
            </w:pPr>
            <w:r>
              <w:rPr>
                <w:b/>
                <w:i w:val="0"/>
                <w:sz w:val="19"/>
              </w:rPr>
              <w:t>peaks</w:t>
            </w:r>
          </w:p>
        </w:tc>
        <w:tc>
          <w:tcPr>
            <w:tcW w:type="dxa" w:w="1531"/>
            <w:tcMar>
              <w:top w:w="80" w:type="dxa"/>
              <w:left w:w="80" w:type="dxa"/>
              <w:bottom w:w="80" w:type="dxa"/>
              <w:right w:w="80" w:type="dxa"/>
            </w:tcMar>
          </w:tcPr>
          <w:p>
            <w:pPr>
              <w:keepNext/>
              <w:spacing w:after="60" w:line="240" w:lineRule="auto"/>
            </w:pPr>
            <w:r>
              <w:rPr>
                <w:b/>
                <w:i w:val="0"/>
                <w:sz w:val="19"/>
              </w:rPr>
              <w:t>EMC/normal</w:t>
            </w:r>
          </w:p>
        </w:tc>
        <w:tc>
          <w:tcPr>
            <w:tcW w:type="dxa" w:w="1531"/>
            <w:tcMar>
              <w:top w:w="80" w:type="dxa"/>
              <w:left w:w="80" w:type="dxa"/>
              <w:bottom w:w="80" w:type="dxa"/>
              <w:right w:w="80" w:type="dxa"/>
            </w:tcMar>
          </w:tcPr>
          <w:p>
            <w:pPr>
              <w:keepNext/>
              <w:spacing w:after="60" w:line="240" w:lineRule="auto"/>
            </w:pPr>
            <w:r>
              <w:rPr>
                <w:b/>
                <w:i w:val="0"/>
                <w:sz w:val="19"/>
              </w:rPr>
              <w:t>percentile</w:t>
            </w:r>
          </w:p>
        </w:tc>
        <w:tc>
          <w:tcPr>
            <w:tcW w:type="dxa" w:w="1531"/>
            <w:tcMar>
              <w:top w:w="80" w:type="dxa"/>
              <w:left w:w="80" w:type="dxa"/>
              <w:bottom w:w="80" w:type="dxa"/>
              <w:right w:w="80" w:type="dxa"/>
            </w:tcMar>
          </w:tcPr>
          <w:p>
            <w:pPr>
              <w:keepNext/>
              <w:spacing w:after="60" w:line="240" w:lineRule="auto"/>
            </w:pPr>
            <w:r>
              <w:rPr>
                <w:b/>
                <w:i w:val="0"/>
                <w:sz w:val="19"/>
              </w:rPr>
              <w:t>EMC/sarcoma</w:t>
            </w:r>
          </w:p>
        </w:tc>
        <w:tc>
          <w:tcPr>
            <w:tcW w:type="dxa" w:w="1531"/>
            <w:tcMar>
              <w:top w:w="80" w:type="dxa"/>
              <w:left w:w="80" w:type="dxa"/>
              <w:bottom w:w="80" w:type="dxa"/>
              <w:right w:w="80" w:type="dxa"/>
            </w:tcMar>
          </w:tcPr>
          <w:p>
            <w:pPr>
              <w:keepNext/>
              <w:spacing w:after="60" w:line="240" w:lineRule="auto"/>
            </w:pPr>
            <w:r>
              <w:rPr>
                <w:b/>
                <w:i w:val="0"/>
                <w:sz w:val="19"/>
              </w:rPr>
              <w:t>percentile</w:t>
            </w:r>
          </w:p>
        </w:tc>
      </w:tr>
      <w:tr>
        <w:trPr>
          <w:cantSplit/>
        </w:trPr>
        <w:tc>
          <w:tcPr>
            <w:tcW w:type="dxa" w:w="1531"/>
            <w:tcMar>
              <w:top w:w="80" w:type="dxa"/>
              <w:left w:w="80" w:type="dxa"/>
              <w:bottom w:w="80" w:type="dxa"/>
              <w:right w:w="80" w:type="dxa"/>
            </w:tcMar>
          </w:tcPr>
          <w:p>
            <w:pPr>
              <w:spacing w:after="60" w:line="240" w:lineRule="auto"/>
            </w:pPr>
            <w:r>
              <w:rPr>
                <w:b/>
                <w:i w:val="0"/>
                <w:sz w:val="19"/>
              </w:rPr>
              <w:t>ENO3</w:t>
            </w:r>
          </w:p>
        </w:tc>
        <w:tc>
          <w:tcPr>
            <w:tcW w:type="dxa" w:w="1531"/>
            <w:tcMar>
              <w:top w:w="80" w:type="dxa"/>
              <w:left w:w="80" w:type="dxa"/>
              <w:bottom w:w="80" w:type="dxa"/>
              <w:right w:w="80" w:type="dxa"/>
            </w:tcMar>
          </w:tcPr>
          <w:p>
            <w:pPr>
              <w:spacing w:after="60" w:line="240" w:lineRule="auto"/>
            </w:pPr>
            <w:r>
              <w:rPr>
                <w:b w:val="0"/>
                <w:i w:val="0"/>
                <w:sz w:val="19"/>
              </w:rPr>
              <w:t>2</w:t>
            </w:r>
          </w:p>
        </w:tc>
        <w:tc>
          <w:tcPr>
            <w:tcW w:type="dxa" w:w="1531"/>
            <w:tcMar>
              <w:top w:w="80" w:type="dxa"/>
              <w:left w:w="80" w:type="dxa"/>
              <w:bottom w:w="80" w:type="dxa"/>
              <w:right w:w="80" w:type="dxa"/>
            </w:tcMar>
          </w:tcPr>
          <w:p>
            <w:pPr>
              <w:spacing w:after="60" w:line="240" w:lineRule="auto"/>
            </w:pPr>
            <w:r>
              <w:rPr>
                <w:b w:val="0"/>
                <w:i w:val="0"/>
                <w:sz w:val="19"/>
              </w:rPr>
              <w:t>2.53×</w:t>
            </w:r>
          </w:p>
        </w:tc>
        <w:tc>
          <w:tcPr>
            <w:tcW w:type="dxa" w:w="1531"/>
            <w:tcMar>
              <w:top w:w="80" w:type="dxa"/>
              <w:left w:w="80" w:type="dxa"/>
              <w:bottom w:w="80" w:type="dxa"/>
              <w:right w:w="80" w:type="dxa"/>
            </w:tcMar>
          </w:tcPr>
          <w:p>
            <w:pPr>
              <w:spacing w:after="60" w:line="240" w:lineRule="auto"/>
            </w:pPr>
            <w:r>
              <w:rPr>
                <w:b/>
                <w:i w:val="0"/>
                <w:sz w:val="19"/>
              </w:rPr>
              <w:t>98.0th</w:t>
            </w:r>
          </w:p>
        </w:tc>
        <w:tc>
          <w:tcPr>
            <w:tcW w:type="dxa" w:w="1531"/>
            <w:tcMar>
              <w:top w:w="80" w:type="dxa"/>
              <w:left w:w="80" w:type="dxa"/>
              <w:bottom w:w="80" w:type="dxa"/>
              <w:right w:w="80" w:type="dxa"/>
            </w:tcMar>
          </w:tcPr>
          <w:p>
            <w:pPr>
              <w:spacing w:after="60" w:line="240" w:lineRule="auto"/>
            </w:pPr>
            <w:r>
              <w:rPr>
                <w:b w:val="0"/>
                <w:i w:val="0"/>
                <w:sz w:val="19"/>
              </w:rPr>
              <w:t>2.02×</w:t>
            </w:r>
          </w:p>
        </w:tc>
        <w:tc>
          <w:tcPr>
            <w:tcW w:type="dxa" w:w="1531"/>
            <w:tcMar>
              <w:top w:w="80" w:type="dxa"/>
              <w:left w:w="80" w:type="dxa"/>
              <w:bottom w:w="80" w:type="dxa"/>
              <w:right w:w="80" w:type="dxa"/>
            </w:tcMar>
          </w:tcPr>
          <w:p>
            <w:pPr>
              <w:spacing w:after="60" w:line="240" w:lineRule="auto"/>
            </w:pPr>
            <w:r>
              <w:rPr>
                <w:b/>
                <w:i w:val="0"/>
                <w:sz w:val="19"/>
              </w:rPr>
              <w:t>95.9th</w:t>
            </w:r>
          </w:p>
        </w:tc>
      </w:tr>
      <w:tr>
        <w:trPr>
          <w:cantSplit/>
        </w:trPr>
        <w:tc>
          <w:tcPr>
            <w:tcW w:type="dxa" w:w="1531"/>
            <w:tcMar>
              <w:top w:w="80" w:type="dxa"/>
              <w:left w:w="80" w:type="dxa"/>
              <w:bottom w:w="80" w:type="dxa"/>
              <w:right w:w="80" w:type="dxa"/>
            </w:tcMar>
          </w:tcPr>
          <w:p>
            <w:pPr>
              <w:spacing w:after="60" w:line="240" w:lineRule="auto"/>
            </w:pPr>
            <w:r>
              <w:rPr>
                <w:b/>
                <w:i w:val="0"/>
                <w:sz w:val="19"/>
              </w:rPr>
              <w:t>SEMA3C</w:t>
            </w:r>
          </w:p>
        </w:tc>
        <w:tc>
          <w:tcPr>
            <w:tcW w:type="dxa" w:w="1531"/>
            <w:tcMar>
              <w:top w:w="80" w:type="dxa"/>
              <w:left w:w="80" w:type="dxa"/>
              <w:bottom w:w="80" w:type="dxa"/>
              <w:right w:w="80" w:type="dxa"/>
            </w:tcMar>
          </w:tcPr>
          <w:p>
            <w:pPr>
              <w:spacing w:after="60" w:line="240" w:lineRule="auto"/>
            </w:pPr>
            <w:r>
              <w:rPr>
                <w:b w:val="0"/>
                <w:i w:val="0"/>
                <w:sz w:val="19"/>
              </w:rPr>
              <w:t>3</w:t>
            </w:r>
          </w:p>
        </w:tc>
        <w:tc>
          <w:tcPr>
            <w:tcW w:type="dxa" w:w="1531"/>
            <w:tcMar>
              <w:top w:w="80" w:type="dxa"/>
              <w:left w:w="80" w:type="dxa"/>
              <w:bottom w:w="80" w:type="dxa"/>
              <w:right w:w="80" w:type="dxa"/>
            </w:tcMar>
          </w:tcPr>
          <w:p>
            <w:pPr>
              <w:spacing w:after="60" w:line="240" w:lineRule="auto"/>
            </w:pPr>
            <w:r>
              <w:rPr>
                <w:b w:val="0"/>
                <w:i w:val="0"/>
                <w:sz w:val="19"/>
              </w:rPr>
              <w:t>1.82×</w:t>
            </w:r>
          </w:p>
        </w:tc>
        <w:tc>
          <w:tcPr>
            <w:tcW w:type="dxa" w:w="1531"/>
            <w:tcMar>
              <w:top w:w="80" w:type="dxa"/>
              <w:left w:w="80" w:type="dxa"/>
              <w:bottom w:w="80" w:type="dxa"/>
              <w:right w:w="80" w:type="dxa"/>
            </w:tcMar>
          </w:tcPr>
          <w:p>
            <w:pPr>
              <w:spacing w:after="60" w:line="240" w:lineRule="auto"/>
            </w:pPr>
            <w:r>
              <w:rPr>
                <w:b w:val="0"/>
                <w:i w:val="0"/>
                <w:sz w:val="19"/>
              </w:rPr>
              <w:t>94.2nd</w:t>
            </w:r>
          </w:p>
        </w:tc>
        <w:tc>
          <w:tcPr>
            <w:tcW w:type="dxa" w:w="1531"/>
            <w:tcMar>
              <w:top w:w="80" w:type="dxa"/>
              <w:left w:w="80" w:type="dxa"/>
              <w:bottom w:w="80" w:type="dxa"/>
              <w:right w:w="80" w:type="dxa"/>
            </w:tcMar>
          </w:tcPr>
          <w:p>
            <w:pPr>
              <w:spacing w:after="60" w:line="240" w:lineRule="auto"/>
            </w:pPr>
            <w:r>
              <w:rPr>
                <w:b w:val="0"/>
                <w:i w:val="0"/>
                <w:sz w:val="19"/>
              </w:rPr>
              <w:t>1.66×</w:t>
            </w:r>
          </w:p>
        </w:tc>
        <w:tc>
          <w:tcPr>
            <w:tcW w:type="dxa" w:w="1531"/>
            <w:tcMar>
              <w:top w:w="80" w:type="dxa"/>
              <w:left w:w="80" w:type="dxa"/>
              <w:bottom w:w="80" w:type="dxa"/>
              <w:right w:w="80" w:type="dxa"/>
            </w:tcMar>
          </w:tcPr>
          <w:p>
            <w:pPr>
              <w:spacing w:after="60" w:line="240" w:lineRule="auto"/>
            </w:pPr>
            <w:r>
              <w:rPr>
                <w:b w:val="0"/>
                <w:i w:val="0"/>
                <w:sz w:val="19"/>
              </w:rPr>
              <w:t>92.6th</w:t>
            </w:r>
          </w:p>
        </w:tc>
      </w:tr>
      <w:tr>
        <w:trPr>
          <w:cantSplit/>
        </w:trPr>
        <w:tc>
          <w:tcPr>
            <w:tcW w:type="dxa" w:w="1531"/>
            <w:tcMar>
              <w:top w:w="80" w:type="dxa"/>
              <w:left w:w="80" w:type="dxa"/>
              <w:bottom w:w="80" w:type="dxa"/>
              <w:right w:w="80" w:type="dxa"/>
            </w:tcMar>
          </w:tcPr>
          <w:p>
            <w:pPr>
              <w:spacing w:after="60" w:line="240" w:lineRule="auto"/>
            </w:pPr>
            <w:r>
              <w:rPr>
                <w:b/>
                <w:i w:val="0"/>
                <w:sz w:val="19"/>
              </w:rPr>
              <w:t>PPARG</w:t>
            </w:r>
          </w:p>
        </w:tc>
        <w:tc>
          <w:tcPr>
            <w:tcW w:type="dxa" w:w="1531"/>
            <w:tcMar>
              <w:top w:w="80" w:type="dxa"/>
              <w:left w:w="80" w:type="dxa"/>
              <w:bottom w:w="80" w:type="dxa"/>
              <w:right w:w="80" w:type="dxa"/>
            </w:tcMar>
          </w:tcPr>
          <w:p>
            <w:pPr>
              <w:spacing w:after="60" w:line="240" w:lineRule="auto"/>
            </w:pPr>
            <w:r>
              <w:rPr>
                <w:b w:val="0"/>
                <w:i w:val="0"/>
                <w:sz w:val="19"/>
              </w:rPr>
              <w:t>5</w:t>
            </w:r>
          </w:p>
        </w:tc>
        <w:tc>
          <w:tcPr>
            <w:tcW w:type="dxa" w:w="1531"/>
            <w:tcMar>
              <w:top w:w="80" w:type="dxa"/>
              <w:left w:w="80" w:type="dxa"/>
              <w:bottom w:w="80" w:type="dxa"/>
              <w:right w:w="80" w:type="dxa"/>
            </w:tcMar>
          </w:tcPr>
          <w:p>
            <w:pPr>
              <w:spacing w:after="60" w:line="240" w:lineRule="auto"/>
            </w:pPr>
            <w:r>
              <w:rPr>
                <w:b w:val="0"/>
                <w:i w:val="0"/>
                <w:sz w:val="19"/>
              </w:rPr>
              <w:t>1.42×</w:t>
            </w:r>
          </w:p>
        </w:tc>
        <w:tc>
          <w:tcPr>
            <w:tcW w:type="dxa" w:w="1531"/>
            <w:tcMar>
              <w:top w:w="80" w:type="dxa"/>
              <w:left w:w="80" w:type="dxa"/>
              <w:bottom w:w="80" w:type="dxa"/>
              <w:right w:w="80" w:type="dxa"/>
            </w:tcMar>
          </w:tcPr>
          <w:p>
            <w:pPr>
              <w:spacing w:after="60" w:line="240" w:lineRule="auto"/>
            </w:pPr>
            <w:r>
              <w:rPr>
                <w:b w:val="0"/>
                <w:i w:val="0"/>
                <w:sz w:val="19"/>
              </w:rPr>
              <w:t>84.0th</w:t>
            </w:r>
          </w:p>
        </w:tc>
        <w:tc>
          <w:tcPr>
            <w:tcW w:type="dxa" w:w="1531"/>
            <w:tcMar>
              <w:top w:w="80" w:type="dxa"/>
              <w:left w:w="80" w:type="dxa"/>
              <w:bottom w:w="80" w:type="dxa"/>
              <w:right w:w="80" w:type="dxa"/>
            </w:tcMar>
          </w:tcPr>
          <w:p>
            <w:pPr>
              <w:spacing w:after="60" w:line="240" w:lineRule="auto"/>
            </w:pPr>
            <w:r>
              <w:rPr>
                <w:b w:val="0"/>
                <w:i w:val="0"/>
                <w:sz w:val="19"/>
              </w:rPr>
              <w:t>2.12×</w:t>
            </w:r>
          </w:p>
        </w:tc>
        <w:tc>
          <w:tcPr>
            <w:tcW w:type="dxa" w:w="1531"/>
            <w:tcMar>
              <w:top w:w="80" w:type="dxa"/>
              <w:left w:w="80" w:type="dxa"/>
              <w:bottom w:w="80" w:type="dxa"/>
              <w:right w:w="80" w:type="dxa"/>
            </w:tcMar>
          </w:tcPr>
          <w:p>
            <w:pPr>
              <w:spacing w:after="60" w:line="240" w:lineRule="auto"/>
            </w:pPr>
            <w:r>
              <w:rPr>
                <w:b/>
                <w:i w:val="0"/>
                <w:sz w:val="19"/>
              </w:rPr>
              <w:t>96.4th</w:t>
            </w:r>
          </w:p>
        </w:tc>
      </w:tr>
      <w:tr>
        <w:trPr>
          <w:cantSplit/>
        </w:trPr>
        <w:tc>
          <w:tcPr>
            <w:tcW w:type="dxa" w:w="1531"/>
            <w:tcMar>
              <w:top w:w="80" w:type="dxa"/>
              <w:left w:w="80" w:type="dxa"/>
              <w:bottom w:w="80" w:type="dxa"/>
              <w:right w:w="80" w:type="dxa"/>
            </w:tcMar>
          </w:tcPr>
          <w:p>
            <w:pPr>
              <w:spacing w:after="60" w:line="240" w:lineRule="auto"/>
            </w:pPr>
            <w:r>
              <w:rPr>
                <w:b w:val="0"/>
                <w:i/>
                <w:sz w:val="19"/>
              </w:rPr>
              <w:t>NR4A3 (control)</w:t>
            </w:r>
          </w:p>
        </w:tc>
        <w:tc>
          <w:tcPr>
            <w:tcW w:type="dxa" w:w="1531"/>
            <w:tcMar>
              <w:top w:w="80" w:type="dxa"/>
              <w:left w:w="80" w:type="dxa"/>
              <w:bottom w:w="80" w:type="dxa"/>
              <w:right w:w="80" w:type="dxa"/>
            </w:tcMar>
          </w:tcPr>
          <w:p>
            <w:pPr>
              <w:spacing w:after="60" w:line="240" w:lineRule="auto"/>
            </w:pPr>
            <w:r>
              <w:rPr>
                <w:b w:val="0"/>
                <w:i w:val="0"/>
                <w:sz w:val="19"/>
              </w:rPr>
              <w:t>3</w:t>
            </w:r>
          </w:p>
        </w:tc>
        <w:tc>
          <w:tcPr>
            <w:tcW w:type="dxa" w:w="1531"/>
            <w:tcMar>
              <w:top w:w="80" w:type="dxa"/>
              <w:left w:w="80" w:type="dxa"/>
              <w:bottom w:w="80" w:type="dxa"/>
              <w:right w:w="80" w:type="dxa"/>
            </w:tcMar>
          </w:tcPr>
          <w:p>
            <w:pPr>
              <w:spacing w:after="60" w:line="240" w:lineRule="auto"/>
            </w:pPr>
            <w:r>
              <w:rPr>
                <w:b w:val="0"/>
                <w:i w:val="0"/>
                <w:sz w:val="19"/>
              </w:rPr>
              <w:t>1.96×</w:t>
            </w:r>
          </w:p>
        </w:tc>
        <w:tc>
          <w:tcPr>
            <w:tcW w:type="dxa" w:w="1531"/>
            <w:tcMar>
              <w:top w:w="80" w:type="dxa"/>
              <w:left w:w="80" w:type="dxa"/>
              <w:bottom w:w="80" w:type="dxa"/>
              <w:right w:w="80" w:type="dxa"/>
            </w:tcMar>
          </w:tcPr>
          <w:p>
            <w:pPr>
              <w:spacing w:after="60" w:line="240" w:lineRule="auto"/>
            </w:pPr>
            <w:r>
              <w:rPr>
                <w:b w:val="0"/>
                <w:i w:val="0"/>
                <w:sz w:val="19"/>
              </w:rPr>
              <w:t>95.6th</w:t>
            </w:r>
          </w:p>
        </w:tc>
        <w:tc>
          <w:tcPr>
            <w:tcW w:type="dxa" w:w="1531"/>
            <w:tcMar>
              <w:top w:w="80" w:type="dxa"/>
              <w:left w:w="80" w:type="dxa"/>
              <w:bottom w:w="80" w:type="dxa"/>
              <w:right w:w="80" w:type="dxa"/>
            </w:tcMar>
          </w:tcPr>
          <w:p>
            <w:pPr>
              <w:spacing w:after="60" w:line="240" w:lineRule="auto"/>
            </w:pPr>
            <w:r>
              <w:rPr>
                <w:b w:val="0"/>
                <w:i w:val="0"/>
                <w:sz w:val="19"/>
              </w:rPr>
              <w:t>— (sarcoma median 0.000)</w:t>
            </w:r>
          </w:p>
        </w:tc>
        <w:tc>
          <w:tcPr>
            <w:tcW w:type="dxa" w:w="1531"/>
            <w:tcMar>
              <w:top w:w="80" w:type="dxa"/>
              <w:left w:w="80" w:type="dxa"/>
              <w:bottom w:w="80" w:type="dxa"/>
              <w:right w:w="80" w:type="dxa"/>
            </w:tcMar>
          </w:tcPr>
          <w:p>
            <w:pPr>
              <w:spacing w:after="60" w:line="240" w:lineRule="auto"/>
            </w:pPr>
            <w:r>
              <w:rPr>
                <w:b w:val="0"/>
                <w:i w:val="0"/>
                <w:sz w:val="19"/>
              </w:rPr>
              <w:t>—</w:t>
            </w:r>
          </w:p>
        </w:tc>
      </w:tr>
    </w:tbl>
    <w:p>
      <w:pPr>
        <w:keepNext/>
        <w:spacing w:before="160"/>
        <w:pageBreakBefore/>
      </w:pPr>
      <w:r>
        <w:rPr>
          <w:b/>
          <w:i w:val="0"/>
        </w:rPr>
        <w:t>Supplementary Table S14. NR4A occupancy at the class-A genes, calibrated against a background panel assembled for an unrelated question.</w:t>
      </w:r>
      <w:r>
        <w:rPr>
          <w:b w:val="0"/>
          <w:i w:val="0"/>
        </w:rPr>
        <w:t xml:space="preserve"> The </w:t>
      </w:r>
      <w:r>
        <w:rPr>
          <w:rFonts w:ascii="Consolas" w:hAnsi="Consolas"/>
          <w:b w:val="0"/>
          <w:i w:val="0"/>
          <w:sz w:val="18"/>
        </w:rPr>
        <w:t>peaks</w:t>
      </w:r>
      <w:r>
        <w:rPr>
          <w:b w:val="0"/>
          <w:i w:val="0"/>
        </w:rPr>
        <w:t xml:space="preserve"> column is the experiment's total peak count. Each gene cell gives that gene's promoter-window peak count and its empirical </w:t>
      </w:r>
      <w:r>
        <w:rPr>
          <w:b w:val="0"/>
          <w:i/>
        </w:rPr>
        <w:t>p</w:t>
      </w:r>
      <w:r>
        <w:rPr>
          <w:b w:val="0"/>
          <w:i w:val="0"/>
        </w:rPr>
        <w:t xml:space="preserve"> against the panel, and the panel is that build's own: 198 genes on hg38, which is the ReMap2022 row and every </w:t>
      </w:r>
      <w:r>
        <w:rPr>
          <w:rFonts w:ascii="Consolas" w:hAnsi="Consolas"/>
          <w:b w:val="0"/>
          <w:i w:val="0"/>
          <w:sz w:val="18"/>
        </w:rPr>
        <w:t>SRX</w:t>
      </w:r>
      <w:r>
        <w:rPr>
          <w:b w:val="0"/>
          <w:i w:val="0"/>
        </w:rPr>
        <w:t xml:space="preserve"> row, and 200 on hg19, which is every Haller (ZENODO) row. </w:t>
      </w:r>
      <w:r>
        <w:rPr>
          <w:b/>
          <w:i w:val="0"/>
        </w:rPr>
        <w:t xml:space="preserve">Every </w:t>
      </w:r>
      <w:r>
        <w:rPr>
          <w:rFonts w:ascii="Consolas" w:hAnsi="Consolas"/>
          <w:b/>
          <w:i w:val="0"/>
          <w:sz w:val="18"/>
        </w:rPr>
        <w:t>SRX</w:t>
      </w:r>
      <w:r>
        <w:rPr>
          <w:b/>
          <w:i w:val="0"/>
        </w:rPr>
        <w:t xml:space="preserve"> row reports the hg38 processing of that experiment</w:t>
      </w:r>
      <w:r>
        <w:rPr>
          <w:b w:val="0"/>
          <w:i w:val="0"/>
        </w:rPr>
        <w:t xml:space="preserve">: the depth, the panel rate and all three </w:t>
      </w:r>
      <w:r>
        <w:rPr>
          <w:b w:val="0"/>
          <w:i/>
        </w:rPr>
        <w:t>p</w:t>
      </w:r>
      <w:r>
        <w:rPr>
          <w:b w:val="0"/>
          <w:i w:val="0"/>
        </w:rPr>
        <w:t xml:space="preserve"> values in one row are that single build's own measurement. The ReMap2022 and Haller (ZENODO) rows exist in one build only; the </w:t>
      </w:r>
      <w:r>
        <w:rPr>
          <w:rFonts w:ascii="Consolas" w:hAnsi="Consolas"/>
          <w:b w:val="0"/>
          <w:i w:val="0"/>
          <w:sz w:val="18"/>
        </w:rPr>
        <w:t>12 ChIP-Atlas NR4A3 peak sets</w:t>
      </w:r>
      <w:r>
        <w:rPr>
          <w:b w:val="0"/>
          <w:i w:val="0"/>
        </w:rPr>
        <w:t xml:space="preserve"> row is six experiments on both builds, so its peak range spans the two.</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757"/>
        <w:gridCol w:w="1020"/>
        <w:gridCol w:w="964"/>
        <w:gridCol w:w="1247"/>
        <w:gridCol w:w="1389"/>
        <w:gridCol w:w="1389"/>
        <w:gridCol w:w="1417"/>
      </w:tblGrid>
      <w:tr>
        <w:trPr>
          <w:cantSplit/>
          <w:tblHeader/>
        </w:trPr>
        <w:tc>
          <w:tcPr>
            <w:tcW w:type="dxa" w:w="1757"/>
            <w:tcMar>
              <w:top w:w="80" w:type="dxa"/>
              <w:left w:w="80" w:type="dxa"/>
              <w:bottom w:w="80" w:type="dxa"/>
              <w:right w:w="80" w:type="dxa"/>
            </w:tcMar>
          </w:tcPr>
          <w:p>
            <w:pPr>
              <w:keepNext/>
              <w:spacing w:after="60" w:line="240" w:lineRule="auto"/>
            </w:pPr>
            <w:r>
              <w:rPr>
                <w:b/>
                <w:i w:val="0"/>
                <w:sz w:val="19"/>
              </w:rPr>
              <w:t>experiment</w:t>
            </w:r>
          </w:p>
        </w:tc>
        <w:tc>
          <w:tcPr>
            <w:tcW w:type="dxa" w:w="1020"/>
            <w:tcMar>
              <w:top w:w="80" w:type="dxa"/>
              <w:left w:w="80" w:type="dxa"/>
              <w:bottom w:w="80" w:type="dxa"/>
              <w:right w:w="80" w:type="dxa"/>
            </w:tcMar>
          </w:tcPr>
          <w:p>
            <w:pPr>
              <w:keepNext/>
              <w:spacing w:after="60" w:line="240" w:lineRule="auto"/>
            </w:pPr>
            <w:r>
              <w:rPr>
                <w:b/>
                <w:i w:val="0"/>
                <w:sz w:val="19"/>
              </w:rPr>
              <w:t>antigen</w:t>
            </w:r>
          </w:p>
        </w:tc>
        <w:tc>
          <w:tcPr>
            <w:tcW w:type="dxa" w:w="964"/>
            <w:tcMar>
              <w:top w:w="80" w:type="dxa"/>
              <w:left w:w="80" w:type="dxa"/>
              <w:bottom w:w="80" w:type="dxa"/>
              <w:right w:w="80" w:type="dxa"/>
            </w:tcMar>
          </w:tcPr>
          <w:p>
            <w:pPr>
              <w:keepNext/>
              <w:spacing w:after="60" w:line="240" w:lineRule="auto"/>
            </w:pPr>
            <w:r>
              <w:rPr>
                <w:b/>
                <w:i w:val="0"/>
                <w:sz w:val="19"/>
              </w:rPr>
              <w:t>peaks</w:t>
            </w:r>
          </w:p>
        </w:tc>
        <w:tc>
          <w:tcPr>
            <w:tcW w:type="dxa" w:w="1247"/>
            <w:tcMar>
              <w:top w:w="80" w:type="dxa"/>
              <w:left w:w="80" w:type="dxa"/>
              <w:bottom w:w="80" w:type="dxa"/>
              <w:right w:w="80" w:type="dxa"/>
            </w:tcMar>
          </w:tcPr>
          <w:p>
            <w:pPr>
              <w:keepNext/>
              <w:spacing w:after="60" w:line="240" w:lineRule="auto"/>
            </w:pPr>
            <w:r>
              <w:rPr>
                <w:b/>
                <w:i w:val="0"/>
                <w:sz w:val="19"/>
              </w:rPr>
              <w:t>panel genes with a peak</w:t>
            </w:r>
          </w:p>
        </w:tc>
        <w:tc>
          <w:tcPr>
            <w:tcW w:type="dxa" w:w="1389"/>
            <w:tcMar>
              <w:top w:w="80" w:type="dxa"/>
              <w:left w:w="80" w:type="dxa"/>
              <w:bottom w:w="80" w:type="dxa"/>
              <w:right w:w="80" w:type="dxa"/>
            </w:tcMar>
          </w:tcPr>
          <w:p>
            <w:pPr>
              <w:keepNext/>
              <w:spacing w:after="60" w:line="240" w:lineRule="auto"/>
            </w:pPr>
            <w:r>
              <w:rPr>
                <w:b/>
                <w:i/>
                <w:sz w:val="19"/>
              </w:rPr>
              <w:t>ENO3</w:t>
            </w:r>
          </w:p>
        </w:tc>
        <w:tc>
          <w:tcPr>
            <w:tcW w:type="dxa" w:w="1389"/>
            <w:tcMar>
              <w:top w:w="80" w:type="dxa"/>
              <w:left w:w="80" w:type="dxa"/>
              <w:bottom w:w="80" w:type="dxa"/>
              <w:right w:w="80" w:type="dxa"/>
            </w:tcMar>
          </w:tcPr>
          <w:p>
            <w:pPr>
              <w:keepNext/>
              <w:spacing w:after="60" w:line="240" w:lineRule="auto"/>
            </w:pPr>
            <w:r>
              <w:rPr>
                <w:b/>
                <w:i/>
                <w:sz w:val="19"/>
              </w:rPr>
              <w:t>PPARG</w:t>
            </w:r>
          </w:p>
        </w:tc>
        <w:tc>
          <w:tcPr>
            <w:tcW w:type="dxa" w:w="1417"/>
            <w:tcMar>
              <w:top w:w="80" w:type="dxa"/>
              <w:left w:w="80" w:type="dxa"/>
              <w:bottom w:w="80" w:type="dxa"/>
              <w:right w:w="80" w:type="dxa"/>
            </w:tcMar>
          </w:tcPr>
          <w:p>
            <w:pPr>
              <w:keepNext/>
              <w:spacing w:after="60" w:line="240" w:lineRule="auto"/>
            </w:pPr>
            <w:r>
              <w:rPr>
                <w:b/>
                <w:i/>
                <w:sz w:val="19"/>
              </w:rPr>
              <w:t>SEMA3C</w:t>
            </w:r>
          </w:p>
        </w:tc>
      </w:tr>
      <w:tr>
        <w:trPr>
          <w:cantSplit/>
        </w:trPr>
        <w:tc>
          <w:tcPr>
            <w:tcW w:type="dxa" w:w="1757"/>
            <w:tcMar>
              <w:top w:w="80" w:type="dxa"/>
              <w:left w:w="80" w:type="dxa"/>
              <w:bottom w:w="80" w:type="dxa"/>
              <w:right w:w="80" w:type="dxa"/>
            </w:tcMar>
          </w:tcPr>
          <w:p>
            <w:pPr>
              <w:spacing w:after="60" w:line="240" w:lineRule="auto"/>
            </w:pPr>
            <w:r>
              <w:rPr>
                <w:b w:val="0"/>
                <w:i w:val="0"/>
                <w:sz w:val="19"/>
              </w:rPr>
              <w:t>ReMap2022 (merged)</w:t>
            </w:r>
          </w:p>
        </w:tc>
        <w:tc>
          <w:tcPr>
            <w:tcW w:type="dxa" w:w="1020"/>
            <w:tcMar>
              <w:top w:w="80" w:type="dxa"/>
              <w:left w:w="80" w:type="dxa"/>
              <w:bottom w:w="80" w:type="dxa"/>
              <w:right w:w="80" w:type="dxa"/>
            </w:tcMar>
          </w:tcPr>
          <w:p>
            <w:pPr>
              <w:spacing w:after="60" w:line="240" w:lineRule="auto"/>
            </w:pPr>
            <w:r>
              <w:rPr>
                <w:b w:val="0"/>
                <w:i w:val="0"/>
                <w:sz w:val="19"/>
              </w:rPr>
              <w:t>NR4A1</w:t>
            </w:r>
          </w:p>
        </w:tc>
        <w:tc>
          <w:tcPr>
            <w:tcW w:type="dxa" w:w="964"/>
            <w:tcMar>
              <w:top w:w="80" w:type="dxa"/>
              <w:left w:w="80" w:type="dxa"/>
              <w:bottom w:w="80" w:type="dxa"/>
              <w:right w:w="80" w:type="dxa"/>
            </w:tcMar>
          </w:tcPr>
          <w:p>
            <w:pPr>
              <w:spacing w:after="60" w:line="240" w:lineRule="auto"/>
            </w:pPr>
            <w:r>
              <w:rPr>
                <w:b w:val="0"/>
                <w:i w:val="0"/>
                <w:sz w:val="19"/>
              </w:rPr>
              <w:t>83,773</w:t>
            </w:r>
          </w:p>
        </w:tc>
        <w:tc>
          <w:tcPr>
            <w:tcW w:type="dxa" w:w="1247"/>
            <w:tcMar>
              <w:top w:w="80" w:type="dxa"/>
              <w:left w:w="80" w:type="dxa"/>
              <w:bottom w:w="80" w:type="dxa"/>
              <w:right w:w="80" w:type="dxa"/>
            </w:tcMar>
          </w:tcPr>
          <w:p>
            <w:pPr>
              <w:spacing w:after="60" w:line="240" w:lineRule="auto"/>
            </w:pPr>
            <w:r>
              <w:rPr>
                <w:b/>
                <w:i w:val="0"/>
                <w:sz w:val="19"/>
              </w:rPr>
              <w:t>82.8%</w:t>
            </w:r>
          </w:p>
        </w:tc>
        <w:tc>
          <w:tcPr>
            <w:tcW w:type="dxa" w:w="1389"/>
            <w:tcMar>
              <w:top w:w="80" w:type="dxa"/>
              <w:left w:w="80" w:type="dxa"/>
              <w:bottom w:w="80" w:type="dxa"/>
              <w:right w:w="80" w:type="dxa"/>
            </w:tcMar>
          </w:tcPr>
          <w:p>
            <w:pPr>
              <w:spacing w:after="60" w:line="240" w:lineRule="auto"/>
            </w:pPr>
            <w:r>
              <w:rPr>
                <w:b w:val="0"/>
                <w:i w:val="0"/>
                <w:sz w:val="19"/>
              </w:rPr>
              <w:t>6, p 0.14</w:t>
            </w:r>
          </w:p>
        </w:tc>
        <w:tc>
          <w:tcPr>
            <w:tcW w:type="dxa" w:w="1389"/>
            <w:tcMar>
              <w:top w:w="80" w:type="dxa"/>
              <w:left w:w="80" w:type="dxa"/>
              <w:bottom w:w="80" w:type="dxa"/>
              <w:right w:w="80" w:type="dxa"/>
            </w:tcMar>
          </w:tcPr>
          <w:p>
            <w:pPr>
              <w:spacing w:after="60" w:line="240" w:lineRule="auto"/>
            </w:pPr>
            <w:r>
              <w:rPr>
                <w:b w:val="0"/>
                <w:i w:val="0"/>
                <w:sz w:val="19"/>
              </w:rPr>
              <w:t>1, p 0.83</w:t>
            </w:r>
          </w:p>
        </w:tc>
        <w:tc>
          <w:tcPr>
            <w:tcW w:type="dxa" w:w="1417"/>
            <w:tcMar>
              <w:top w:w="80" w:type="dxa"/>
              <w:left w:w="80" w:type="dxa"/>
              <w:bottom w:w="80" w:type="dxa"/>
              <w:right w:w="80" w:type="dxa"/>
            </w:tcMar>
          </w:tcPr>
          <w:p>
            <w:pPr>
              <w:spacing w:after="60" w:line="240" w:lineRule="auto"/>
            </w:pPr>
            <w:r>
              <w:rPr>
                <w:b w:val="0"/>
                <w:i w:val="0"/>
                <w:sz w:val="19"/>
              </w:rPr>
              <w:t>1, p 0.83</w:t>
            </w:r>
          </w:p>
        </w:tc>
      </w:tr>
      <w:tr>
        <w:trPr>
          <w:cantSplit/>
        </w:trPr>
        <w:tc>
          <w:tcPr>
            <w:tcW w:type="dxa" w:w="1757"/>
            <w:tcMar>
              <w:top w:w="80" w:type="dxa"/>
              <w:left w:w="80" w:type="dxa"/>
              <w:bottom w:w="80" w:type="dxa"/>
              <w:right w:w="80" w:type="dxa"/>
            </w:tcMar>
          </w:tcPr>
          <w:p>
            <w:pPr>
              <w:spacing w:after="60" w:line="240" w:lineRule="auto"/>
            </w:pPr>
            <w:r>
              <w:rPr>
                <w:b w:val="0"/>
                <w:i w:val="0"/>
                <w:sz w:val="19"/>
              </w:rPr>
              <w:t>SRX1653204 (hg38)</w:t>
            </w:r>
          </w:p>
        </w:tc>
        <w:tc>
          <w:tcPr>
            <w:tcW w:type="dxa" w:w="1020"/>
            <w:tcMar>
              <w:top w:w="80" w:type="dxa"/>
              <w:left w:w="80" w:type="dxa"/>
              <w:bottom w:w="80" w:type="dxa"/>
              <w:right w:w="80" w:type="dxa"/>
            </w:tcMar>
          </w:tcPr>
          <w:p>
            <w:pPr>
              <w:spacing w:after="60" w:line="240" w:lineRule="auto"/>
            </w:pPr>
            <w:r>
              <w:rPr>
                <w:b w:val="0"/>
                <w:i w:val="0"/>
                <w:sz w:val="19"/>
              </w:rPr>
              <w:t>NR4A1</w:t>
            </w:r>
          </w:p>
        </w:tc>
        <w:tc>
          <w:tcPr>
            <w:tcW w:type="dxa" w:w="964"/>
            <w:tcMar>
              <w:top w:w="80" w:type="dxa"/>
              <w:left w:w="80" w:type="dxa"/>
              <w:bottom w:w="80" w:type="dxa"/>
              <w:right w:w="80" w:type="dxa"/>
            </w:tcMar>
          </w:tcPr>
          <w:p>
            <w:pPr>
              <w:spacing w:after="60" w:line="240" w:lineRule="auto"/>
            </w:pPr>
            <w:r>
              <w:rPr>
                <w:b w:val="0"/>
                <w:i w:val="0"/>
                <w:sz w:val="19"/>
              </w:rPr>
              <w:t>26,660</w:t>
            </w:r>
          </w:p>
        </w:tc>
        <w:tc>
          <w:tcPr>
            <w:tcW w:type="dxa" w:w="1247"/>
            <w:tcMar>
              <w:top w:w="80" w:type="dxa"/>
              <w:left w:w="80" w:type="dxa"/>
              <w:bottom w:w="80" w:type="dxa"/>
              <w:right w:w="80" w:type="dxa"/>
            </w:tcMar>
          </w:tcPr>
          <w:p>
            <w:pPr>
              <w:spacing w:after="60" w:line="240" w:lineRule="auto"/>
            </w:pPr>
            <w:r>
              <w:rPr>
                <w:b w:val="0"/>
                <w:i w:val="0"/>
                <w:sz w:val="19"/>
              </w:rPr>
              <w:t>45.5%</w:t>
            </w:r>
          </w:p>
        </w:tc>
        <w:tc>
          <w:tcPr>
            <w:tcW w:type="dxa" w:w="1389"/>
            <w:tcMar>
              <w:top w:w="80" w:type="dxa"/>
              <w:left w:w="80" w:type="dxa"/>
              <w:bottom w:w="80" w:type="dxa"/>
              <w:right w:w="80" w:type="dxa"/>
            </w:tcMar>
          </w:tcPr>
          <w:p>
            <w:pPr>
              <w:spacing w:after="60" w:line="240" w:lineRule="auto"/>
            </w:pPr>
            <w:r>
              <w:rPr>
                <w:b w:val="0"/>
                <w:i w:val="0"/>
                <w:sz w:val="19"/>
              </w:rPr>
              <w:t>2, p 0.12</w:t>
            </w:r>
          </w:p>
        </w:tc>
        <w:tc>
          <w:tcPr>
            <w:tcW w:type="dxa" w:w="1389"/>
            <w:tcMar>
              <w:top w:w="80" w:type="dxa"/>
              <w:left w:w="80" w:type="dxa"/>
              <w:bottom w:w="80" w:type="dxa"/>
              <w:right w:w="80" w:type="dxa"/>
            </w:tcMar>
          </w:tcPr>
          <w:p>
            <w:pPr>
              <w:spacing w:after="60" w:line="240" w:lineRule="auto"/>
            </w:pPr>
            <w:r>
              <w:rPr>
                <w:b w:val="0"/>
                <w:i w:val="0"/>
                <w:sz w:val="19"/>
              </w:rPr>
              <w:t>0, p 1.00</w:t>
            </w:r>
          </w:p>
        </w:tc>
        <w:tc>
          <w:tcPr>
            <w:tcW w:type="dxa" w:w="1417"/>
            <w:tcMar>
              <w:top w:w="80" w:type="dxa"/>
              <w:left w:w="80" w:type="dxa"/>
              <w:bottom w:w="80" w:type="dxa"/>
              <w:right w:w="80" w:type="dxa"/>
            </w:tcMar>
          </w:tcPr>
          <w:p>
            <w:pPr>
              <w:spacing w:after="60" w:line="240" w:lineRule="auto"/>
            </w:pPr>
            <w:r>
              <w:rPr>
                <w:b w:val="0"/>
                <w:i w:val="0"/>
                <w:sz w:val="19"/>
              </w:rPr>
              <w:t>1, p 0.46</w:t>
            </w:r>
          </w:p>
        </w:tc>
      </w:tr>
      <w:tr>
        <w:trPr>
          <w:cantSplit/>
        </w:trPr>
        <w:tc>
          <w:tcPr>
            <w:tcW w:type="dxa" w:w="1757"/>
            <w:tcMar>
              <w:top w:w="80" w:type="dxa"/>
              <w:left w:w="80" w:type="dxa"/>
              <w:bottom w:w="80" w:type="dxa"/>
              <w:right w:w="80" w:type="dxa"/>
            </w:tcMar>
          </w:tcPr>
          <w:p>
            <w:pPr>
              <w:spacing w:after="60" w:line="240" w:lineRule="auto"/>
            </w:pPr>
            <w:r>
              <w:rPr>
                <w:b w:val="0"/>
                <w:i w:val="0"/>
                <w:sz w:val="19"/>
              </w:rPr>
              <w:t>SRX1653203 (hg38)</w:t>
            </w:r>
          </w:p>
        </w:tc>
        <w:tc>
          <w:tcPr>
            <w:tcW w:type="dxa" w:w="1020"/>
            <w:tcMar>
              <w:top w:w="80" w:type="dxa"/>
              <w:left w:w="80" w:type="dxa"/>
              <w:bottom w:w="80" w:type="dxa"/>
              <w:right w:w="80" w:type="dxa"/>
            </w:tcMar>
          </w:tcPr>
          <w:p>
            <w:pPr>
              <w:spacing w:after="60" w:line="240" w:lineRule="auto"/>
            </w:pPr>
            <w:r>
              <w:rPr>
                <w:b w:val="0"/>
                <w:i w:val="0"/>
                <w:sz w:val="19"/>
              </w:rPr>
              <w:t>NR4A1</w:t>
            </w:r>
          </w:p>
        </w:tc>
        <w:tc>
          <w:tcPr>
            <w:tcW w:type="dxa" w:w="964"/>
            <w:tcMar>
              <w:top w:w="80" w:type="dxa"/>
              <w:left w:w="80" w:type="dxa"/>
              <w:bottom w:w="80" w:type="dxa"/>
              <w:right w:w="80" w:type="dxa"/>
            </w:tcMar>
          </w:tcPr>
          <w:p>
            <w:pPr>
              <w:spacing w:after="60" w:line="240" w:lineRule="auto"/>
            </w:pPr>
            <w:r>
              <w:rPr>
                <w:b w:val="0"/>
                <w:i w:val="0"/>
                <w:sz w:val="19"/>
              </w:rPr>
              <w:t>22,717</w:t>
            </w:r>
          </w:p>
        </w:tc>
        <w:tc>
          <w:tcPr>
            <w:tcW w:type="dxa" w:w="1247"/>
            <w:tcMar>
              <w:top w:w="80" w:type="dxa"/>
              <w:left w:w="80" w:type="dxa"/>
              <w:bottom w:w="80" w:type="dxa"/>
              <w:right w:w="80" w:type="dxa"/>
            </w:tcMar>
          </w:tcPr>
          <w:p>
            <w:pPr>
              <w:spacing w:after="60" w:line="240" w:lineRule="auto"/>
            </w:pPr>
            <w:r>
              <w:rPr>
                <w:b w:val="0"/>
                <w:i w:val="0"/>
                <w:sz w:val="19"/>
              </w:rPr>
              <w:t>31.3%</w:t>
            </w:r>
          </w:p>
        </w:tc>
        <w:tc>
          <w:tcPr>
            <w:tcW w:type="dxa" w:w="1389"/>
            <w:tcMar>
              <w:top w:w="80" w:type="dxa"/>
              <w:left w:w="80" w:type="dxa"/>
              <w:bottom w:w="80" w:type="dxa"/>
              <w:right w:w="80" w:type="dxa"/>
            </w:tcMar>
          </w:tcPr>
          <w:p>
            <w:pPr>
              <w:spacing w:after="60" w:line="240" w:lineRule="auto"/>
            </w:pPr>
            <w:r>
              <w:rPr>
                <w:b w:val="0"/>
                <w:i w:val="0"/>
                <w:sz w:val="19"/>
              </w:rPr>
              <w:t>2, p 0.0503</w:t>
            </w:r>
          </w:p>
        </w:tc>
        <w:tc>
          <w:tcPr>
            <w:tcW w:type="dxa" w:w="1389"/>
            <w:tcMar>
              <w:top w:w="80" w:type="dxa"/>
              <w:left w:w="80" w:type="dxa"/>
              <w:bottom w:w="80" w:type="dxa"/>
              <w:right w:w="80" w:type="dxa"/>
            </w:tcMar>
          </w:tcPr>
          <w:p>
            <w:pPr>
              <w:spacing w:after="60" w:line="240" w:lineRule="auto"/>
            </w:pPr>
            <w:r>
              <w:rPr>
                <w:b w:val="0"/>
                <w:i w:val="0"/>
                <w:sz w:val="19"/>
              </w:rPr>
              <w:t>0, p 1.00</w:t>
            </w:r>
          </w:p>
        </w:tc>
        <w:tc>
          <w:tcPr>
            <w:tcW w:type="dxa" w:w="1417"/>
            <w:tcMar>
              <w:top w:w="80" w:type="dxa"/>
              <w:left w:w="80" w:type="dxa"/>
              <w:bottom w:w="80" w:type="dxa"/>
              <w:right w:w="80" w:type="dxa"/>
            </w:tcMar>
          </w:tcPr>
          <w:p>
            <w:pPr>
              <w:spacing w:after="60" w:line="240" w:lineRule="auto"/>
            </w:pPr>
            <w:r>
              <w:rPr>
                <w:b w:val="0"/>
                <w:i w:val="0"/>
                <w:sz w:val="19"/>
              </w:rPr>
              <w:t>1, p 0.32</w:t>
            </w:r>
          </w:p>
        </w:tc>
      </w:tr>
      <w:tr>
        <w:trPr>
          <w:cantSplit/>
        </w:trPr>
        <w:tc>
          <w:tcPr>
            <w:tcW w:type="dxa" w:w="1757"/>
            <w:tcMar>
              <w:top w:w="80" w:type="dxa"/>
              <w:left w:w="80" w:type="dxa"/>
              <w:bottom w:w="80" w:type="dxa"/>
              <w:right w:w="80" w:type="dxa"/>
            </w:tcMar>
          </w:tcPr>
          <w:p>
            <w:pPr>
              <w:spacing w:after="60" w:line="240" w:lineRule="auto"/>
            </w:pPr>
            <w:r>
              <w:rPr>
                <w:b/>
                <w:i w:val="0"/>
                <w:sz w:val="19"/>
              </w:rPr>
              <w:t>AciCC-1</w:t>
            </w:r>
            <w:r>
              <w:rPr>
                <w:b w:val="0"/>
                <w:i w:val="0"/>
                <w:sz w:val="19"/>
              </w:rPr>
              <w:t xml:space="preserve"> (Haller)</w:t>
            </w:r>
          </w:p>
        </w:tc>
        <w:tc>
          <w:tcPr>
            <w:tcW w:type="dxa" w:w="1020"/>
            <w:tcMar>
              <w:top w:w="80" w:type="dxa"/>
              <w:left w:w="80" w:type="dxa"/>
              <w:bottom w:w="80" w:type="dxa"/>
              <w:right w:w="80" w:type="dxa"/>
            </w:tcMar>
          </w:tcPr>
          <w:p>
            <w:pPr>
              <w:spacing w:after="60" w:line="240" w:lineRule="auto"/>
            </w:pPr>
            <w:r>
              <w:rPr>
                <w:b/>
                <w:i w:val="0"/>
                <w:sz w:val="19"/>
              </w:rPr>
              <w:t>NR4A3</w:t>
            </w:r>
          </w:p>
        </w:tc>
        <w:tc>
          <w:tcPr>
            <w:tcW w:type="dxa" w:w="964"/>
            <w:tcMar>
              <w:top w:w="80" w:type="dxa"/>
              <w:left w:w="80" w:type="dxa"/>
              <w:bottom w:w="80" w:type="dxa"/>
              <w:right w:w="80" w:type="dxa"/>
            </w:tcMar>
          </w:tcPr>
          <w:p>
            <w:pPr>
              <w:spacing w:after="60" w:line="240" w:lineRule="auto"/>
            </w:pPr>
            <w:r>
              <w:rPr>
                <w:b/>
                <w:i w:val="0"/>
                <w:sz w:val="19"/>
              </w:rPr>
              <w:t>18,666</w:t>
            </w:r>
          </w:p>
        </w:tc>
        <w:tc>
          <w:tcPr>
            <w:tcW w:type="dxa" w:w="1247"/>
            <w:tcMar>
              <w:top w:w="80" w:type="dxa"/>
              <w:left w:w="80" w:type="dxa"/>
              <w:bottom w:w="80" w:type="dxa"/>
              <w:right w:w="80" w:type="dxa"/>
            </w:tcMar>
          </w:tcPr>
          <w:p>
            <w:pPr>
              <w:spacing w:after="60" w:line="240" w:lineRule="auto"/>
            </w:pPr>
            <w:r>
              <w:rPr>
                <w:b w:val="0"/>
                <w:i w:val="0"/>
                <w:sz w:val="19"/>
              </w:rPr>
              <w:t>67.5%</w:t>
            </w:r>
          </w:p>
        </w:tc>
        <w:tc>
          <w:tcPr>
            <w:tcW w:type="dxa" w:w="1389"/>
            <w:tcMar>
              <w:top w:w="80" w:type="dxa"/>
              <w:left w:w="80" w:type="dxa"/>
              <w:bottom w:w="80" w:type="dxa"/>
              <w:right w:w="80" w:type="dxa"/>
            </w:tcMar>
          </w:tcPr>
          <w:p>
            <w:pPr>
              <w:spacing w:after="60" w:line="240" w:lineRule="auto"/>
            </w:pPr>
            <w:r>
              <w:rPr>
                <w:b w:val="0"/>
                <w:i w:val="0"/>
                <w:sz w:val="19"/>
              </w:rPr>
              <w:t>4, p 0.070</w:t>
            </w:r>
          </w:p>
        </w:tc>
        <w:tc>
          <w:tcPr>
            <w:tcW w:type="dxa" w:w="1389"/>
            <w:tcMar>
              <w:top w:w="80" w:type="dxa"/>
              <w:left w:w="80" w:type="dxa"/>
              <w:bottom w:w="80" w:type="dxa"/>
              <w:right w:w="80" w:type="dxa"/>
            </w:tcMar>
          </w:tcPr>
          <w:p>
            <w:pPr>
              <w:spacing w:after="60" w:line="240" w:lineRule="auto"/>
            </w:pPr>
            <w:r>
              <w:rPr>
                <w:b/>
                <w:i w:val="0"/>
                <w:sz w:val="19"/>
              </w:rPr>
              <w:t>0, p 1.00</w:t>
            </w:r>
          </w:p>
        </w:tc>
        <w:tc>
          <w:tcPr>
            <w:tcW w:type="dxa" w:w="1417"/>
            <w:tcMar>
              <w:top w:w="80" w:type="dxa"/>
              <w:left w:w="80" w:type="dxa"/>
              <w:bottom w:w="80" w:type="dxa"/>
              <w:right w:w="80" w:type="dxa"/>
            </w:tcMar>
          </w:tcPr>
          <w:p>
            <w:pPr>
              <w:spacing w:after="60" w:line="240" w:lineRule="auto"/>
            </w:pPr>
            <w:r>
              <w:rPr>
                <w:b w:val="0"/>
                <w:i w:val="0"/>
                <w:sz w:val="19"/>
              </w:rPr>
              <w:t>1, p 0.68</w:t>
            </w:r>
          </w:p>
        </w:tc>
      </w:tr>
      <w:tr>
        <w:trPr>
          <w:cantSplit/>
        </w:trPr>
        <w:tc>
          <w:tcPr>
            <w:tcW w:type="dxa" w:w="1757"/>
            <w:tcMar>
              <w:top w:w="80" w:type="dxa"/>
              <w:left w:w="80" w:type="dxa"/>
              <w:bottom w:w="80" w:type="dxa"/>
              <w:right w:w="80" w:type="dxa"/>
            </w:tcMar>
          </w:tcPr>
          <w:p>
            <w:pPr>
              <w:spacing w:after="60" w:line="240" w:lineRule="auto"/>
            </w:pPr>
            <w:r>
              <w:rPr>
                <w:b/>
                <w:i w:val="0"/>
                <w:sz w:val="19"/>
              </w:rPr>
              <w:t>AciCC-2</w:t>
            </w:r>
            <w:r>
              <w:rPr>
                <w:b w:val="0"/>
                <w:i w:val="0"/>
                <w:sz w:val="19"/>
              </w:rPr>
              <w:t xml:space="preserve"> (Haller)</w:t>
            </w:r>
          </w:p>
        </w:tc>
        <w:tc>
          <w:tcPr>
            <w:tcW w:type="dxa" w:w="1020"/>
            <w:tcMar>
              <w:top w:w="80" w:type="dxa"/>
              <w:left w:w="80" w:type="dxa"/>
              <w:bottom w:w="80" w:type="dxa"/>
              <w:right w:w="80" w:type="dxa"/>
            </w:tcMar>
          </w:tcPr>
          <w:p>
            <w:pPr>
              <w:spacing w:after="60" w:line="240" w:lineRule="auto"/>
            </w:pPr>
            <w:r>
              <w:rPr>
                <w:b/>
                <w:i w:val="0"/>
                <w:sz w:val="19"/>
              </w:rPr>
              <w:t>NR4A3</w:t>
            </w:r>
          </w:p>
        </w:tc>
        <w:tc>
          <w:tcPr>
            <w:tcW w:type="dxa" w:w="964"/>
            <w:tcMar>
              <w:top w:w="80" w:type="dxa"/>
              <w:left w:w="80" w:type="dxa"/>
              <w:bottom w:w="80" w:type="dxa"/>
              <w:right w:w="80" w:type="dxa"/>
            </w:tcMar>
          </w:tcPr>
          <w:p>
            <w:pPr>
              <w:spacing w:after="60" w:line="240" w:lineRule="auto"/>
            </w:pPr>
            <w:r>
              <w:rPr>
                <w:b/>
                <w:i w:val="0"/>
                <w:sz w:val="19"/>
              </w:rPr>
              <w:t>9,810</w:t>
            </w:r>
          </w:p>
        </w:tc>
        <w:tc>
          <w:tcPr>
            <w:tcW w:type="dxa" w:w="1247"/>
            <w:tcMar>
              <w:top w:w="80" w:type="dxa"/>
              <w:left w:w="80" w:type="dxa"/>
              <w:bottom w:w="80" w:type="dxa"/>
              <w:right w:w="80" w:type="dxa"/>
            </w:tcMar>
          </w:tcPr>
          <w:p>
            <w:pPr>
              <w:spacing w:after="60" w:line="240" w:lineRule="auto"/>
            </w:pPr>
            <w:r>
              <w:rPr>
                <w:b w:val="0"/>
                <w:i w:val="0"/>
                <w:sz w:val="19"/>
              </w:rPr>
              <w:t>56.0%</w:t>
            </w:r>
          </w:p>
        </w:tc>
        <w:tc>
          <w:tcPr>
            <w:tcW w:type="dxa" w:w="1389"/>
            <w:tcMar>
              <w:top w:w="80" w:type="dxa"/>
              <w:left w:w="80" w:type="dxa"/>
              <w:bottom w:w="80" w:type="dxa"/>
              <w:right w:w="80" w:type="dxa"/>
            </w:tcMar>
          </w:tcPr>
          <w:p>
            <w:pPr>
              <w:spacing w:after="60" w:line="240" w:lineRule="auto"/>
            </w:pPr>
            <w:r>
              <w:rPr>
                <w:b w:val="0"/>
                <w:i w:val="0"/>
                <w:sz w:val="19"/>
              </w:rPr>
              <w:t>3, p 0.094</w:t>
            </w:r>
          </w:p>
        </w:tc>
        <w:tc>
          <w:tcPr>
            <w:tcW w:type="dxa" w:w="1389"/>
            <w:tcMar>
              <w:top w:w="80" w:type="dxa"/>
              <w:left w:w="80" w:type="dxa"/>
              <w:bottom w:w="80" w:type="dxa"/>
              <w:right w:w="80" w:type="dxa"/>
            </w:tcMar>
          </w:tcPr>
          <w:p>
            <w:pPr>
              <w:spacing w:after="60" w:line="240" w:lineRule="auto"/>
            </w:pPr>
            <w:r>
              <w:rPr>
                <w:b/>
                <w:i w:val="0"/>
                <w:sz w:val="19"/>
              </w:rPr>
              <w:t>0, p 1.00</w:t>
            </w:r>
          </w:p>
        </w:tc>
        <w:tc>
          <w:tcPr>
            <w:tcW w:type="dxa" w:w="1417"/>
            <w:tcMar>
              <w:top w:w="80" w:type="dxa"/>
              <w:left w:w="80" w:type="dxa"/>
              <w:bottom w:w="80" w:type="dxa"/>
              <w:right w:w="80" w:type="dxa"/>
            </w:tcMar>
          </w:tcPr>
          <w:p>
            <w:pPr>
              <w:spacing w:after="60" w:line="240" w:lineRule="auto"/>
            </w:pPr>
            <w:r>
              <w:rPr>
                <w:b w:val="0"/>
                <w:i w:val="0"/>
                <w:sz w:val="19"/>
              </w:rPr>
              <w:t>0, p 1.00</w:t>
            </w:r>
          </w:p>
        </w:tc>
      </w:tr>
      <w:tr>
        <w:trPr>
          <w:cantSplit/>
        </w:trPr>
        <w:tc>
          <w:tcPr>
            <w:tcW w:type="dxa" w:w="1757"/>
            <w:tcMar>
              <w:top w:w="80" w:type="dxa"/>
              <w:left w:w="80" w:type="dxa"/>
              <w:bottom w:w="80" w:type="dxa"/>
              <w:right w:w="80" w:type="dxa"/>
            </w:tcMar>
          </w:tcPr>
          <w:p>
            <w:pPr>
              <w:spacing w:after="60" w:line="240" w:lineRule="auto"/>
            </w:pPr>
            <w:r>
              <w:rPr>
                <w:b/>
                <w:i w:val="0"/>
                <w:sz w:val="19"/>
              </w:rPr>
              <w:t>AciCC-3</w:t>
            </w:r>
            <w:r>
              <w:rPr>
                <w:b w:val="0"/>
                <w:i w:val="0"/>
                <w:sz w:val="19"/>
              </w:rPr>
              <w:t xml:space="preserve"> (Haller)</w:t>
            </w:r>
          </w:p>
        </w:tc>
        <w:tc>
          <w:tcPr>
            <w:tcW w:type="dxa" w:w="1020"/>
            <w:tcMar>
              <w:top w:w="80" w:type="dxa"/>
              <w:left w:w="80" w:type="dxa"/>
              <w:bottom w:w="80" w:type="dxa"/>
              <w:right w:w="80" w:type="dxa"/>
            </w:tcMar>
          </w:tcPr>
          <w:p>
            <w:pPr>
              <w:spacing w:after="60" w:line="240" w:lineRule="auto"/>
            </w:pPr>
            <w:r>
              <w:rPr>
                <w:b/>
                <w:i w:val="0"/>
                <w:sz w:val="19"/>
              </w:rPr>
              <w:t>NR4A3</w:t>
            </w:r>
          </w:p>
        </w:tc>
        <w:tc>
          <w:tcPr>
            <w:tcW w:type="dxa" w:w="964"/>
            <w:tcMar>
              <w:top w:w="80" w:type="dxa"/>
              <w:left w:w="80" w:type="dxa"/>
              <w:bottom w:w="80" w:type="dxa"/>
              <w:right w:w="80" w:type="dxa"/>
            </w:tcMar>
          </w:tcPr>
          <w:p>
            <w:pPr>
              <w:spacing w:after="60" w:line="240" w:lineRule="auto"/>
            </w:pPr>
            <w:r>
              <w:rPr>
                <w:b/>
                <w:i w:val="0"/>
                <w:sz w:val="19"/>
              </w:rPr>
              <w:t>9,263</w:t>
            </w:r>
          </w:p>
        </w:tc>
        <w:tc>
          <w:tcPr>
            <w:tcW w:type="dxa" w:w="1247"/>
            <w:tcMar>
              <w:top w:w="80" w:type="dxa"/>
              <w:left w:w="80" w:type="dxa"/>
              <w:bottom w:w="80" w:type="dxa"/>
              <w:right w:w="80" w:type="dxa"/>
            </w:tcMar>
          </w:tcPr>
          <w:p>
            <w:pPr>
              <w:spacing w:after="60" w:line="240" w:lineRule="auto"/>
            </w:pPr>
            <w:r>
              <w:rPr>
                <w:b w:val="0"/>
                <w:i w:val="0"/>
                <w:sz w:val="19"/>
              </w:rPr>
              <w:t>49.0%</w:t>
            </w:r>
          </w:p>
        </w:tc>
        <w:tc>
          <w:tcPr>
            <w:tcW w:type="dxa" w:w="1389"/>
            <w:tcMar>
              <w:top w:w="80" w:type="dxa"/>
              <w:left w:w="80" w:type="dxa"/>
              <w:bottom w:w="80" w:type="dxa"/>
              <w:right w:w="80" w:type="dxa"/>
            </w:tcMar>
          </w:tcPr>
          <w:p>
            <w:pPr>
              <w:spacing w:after="60" w:line="240" w:lineRule="auto"/>
            </w:pPr>
            <w:r>
              <w:rPr>
                <w:b w:val="0"/>
                <w:i w:val="0"/>
                <w:sz w:val="19"/>
              </w:rPr>
              <w:t>2, p 0.16</w:t>
            </w:r>
          </w:p>
        </w:tc>
        <w:tc>
          <w:tcPr>
            <w:tcW w:type="dxa" w:w="1389"/>
            <w:tcMar>
              <w:top w:w="80" w:type="dxa"/>
              <w:left w:w="80" w:type="dxa"/>
              <w:bottom w:w="80" w:type="dxa"/>
              <w:right w:w="80" w:type="dxa"/>
            </w:tcMar>
          </w:tcPr>
          <w:p>
            <w:pPr>
              <w:spacing w:after="60" w:line="240" w:lineRule="auto"/>
            </w:pPr>
            <w:r>
              <w:rPr>
                <w:b/>
                <w:i w:val="0"/>
                <w:sz w:val="19"/>
              </w:rPr>
              <w:t>0, p 1.00</w:t>
            </w:r>
          </w:p>
        </w:tc>
        <w:tc>
          <w:tcPr>
            <w:tcW w:type="dxa" w:w="1417"/>
            <w:tcMar>
              <w:top w:w="80" w:type="dxa"/>
              <w:left w:w="80" w:type="dxa"/>
              <w:bottom w:w="80" w:type="dxa"/>
              <w:right w:w="80" w:type="dxa"/>
            </w:tcMar>
          </w:tcPr>
          <w:p>
            <w:pPr>
              <w:spacing w:after="60" w:line="240" w:lineRule="auto"/>
            </w:pPr>
            <w:r>
              <w:rPr>
                <w:b w:val="0"/>
                <w:i w:val="0"/>
                <w:sz w:val="19"/>
              </w:rPr>
              <w:t>0, p 1.00</w:t>
            </w:r>
          </w:p>
        </w:tc>
      </w:tr>
      <w:tr>
        <w:trPr>
          <w:cantSplit/>
        </w:trPr>
        <w:tc>
          <w:tcPr>
            <w:tcW w:type="dxa" w:w="1757"/>
            <w:tcMar>
              <w:top w:w="80" w:type="dxa"/>
              <w:left w:w="80" w:type="dxa"/>
              <w:bottom w:w="80" w:type="dxa"/>
              <w:right w:w="80" w:type="dxa"/>
            </w:tcMar>
          </w:tcPr>
          <w:p>
            <w:pPr>
              <w:spacing w:after="60" w:line="240" w:lineRule="auto"/>
            </w:pPr>
            <w:r>
              <w:rPr>
                <w:b/>
                <w:i w:val="0"/>
                <w:sz w:val="19"/>
              </w:rPr>
              <w:t>Normal parotid gland</w:t>
            </w:r>
            <w:r>
              <w:rPr>
                <w:b w:val="0"/>
                <w:i w:val="0"/>
                <w:sz w:val="19"/>
              </w:rPr>
              <w:t xml:space="preserve"> (Haller)</w:t>
            </w:r>
          </w:p>
        </w:tc>
        <w:tc>
          <w:tcPr>
            <w:tcW w:type="dxa" w:w="1020"/>
            <w:tcMar>
              <w:top w:w="80" w:type="dxa"/>
              <w:left w:w="80" w:type="dxa"/>
              <w:bottom w:w="80" w:type="dxa"/>
              <w:right w:w="80" w:type="dxa"/>
            </w:tcMar>
          </w:tcPr>
          <w:p>
            <w:pPr>
              <w:spacing w:after="60" w:line="240" w:lineRule="auto"/>
            </w:pPr>
            <w:r>
              <w:rPr>
                <w:b/>
                <w:i w:val="0"/>
                <w:sz w:val="19"/>
              </w:rPr>
              <w:t>NR4A3</w:t>
            </w:r>
          </w:p>
        </w:tc>
        <w:tc>
          <w:tcPr>
            <w:tcW w:type="dxa" w:w="964"/>
            <w:tcMar>
              <w:top w:w="80" w:type="dxa"/>
              <w:left w:w="80" w:type="dxa"/>
              <w:bottom w:w="80" w:type="dxa"/>
              <w:right w:w="80" w:type="dxa"/>
            </w:tcMar>
          </w:tcPr>
          <w:p>
            <w:pPr>
              <w:spacing w:after="60" w:line="240" w:lineRule="auto"/>
            </w:pPr>
            <w:r>
              <w:rPr>
                <w:b/>
                <w:i w:val="0"/>
                <w:sz w:val="19"/>
              </w:rPr>
              <w:t>8,501</w:t>
            </w:r>
          </w:p>
        </w:tc>
        <w:tc>
          <w:tcPr>
            <w:tcW w:type="dxa" w:w="1247"/>
            <w:tcMar>
              <w:top w:w="80" w:type="dxa"/>
              <w:left w:w="80" w:type="dxa"/>
              <w:bottom w:w="80" w:type="dxa"/>
              <w:right w:w="80" w:type="dxa"/>
            </w:tcMar>
          </w:tcPr>
          <w:p>
            <w:pPr>
              <w:spacing w:after="60" w:line="240" w:lineRule="auto"/>
            </w:pPr>
            <w:r>
              <w:rPr>
                <w:b w:val="0"/>
                <w:i w:val="0"/>
                <w:sz w:val="19"/>
              </w:rPr>
              <w:t>50.5%</w:t>
            </w:r>
          </w:p>
        </w:tc>
        <w:tc>
          <w:tcPr>
            <w:tcW w:type="dxa" w:w="1389"/>
            <w:tcMar>
              <w:top w:w="80" w:type="dxa"/>
              <w:left w:w="80" w:type="dxa"/>
              <w:bottom w:w="80" w:type="dxa"/>
              <w:right w:w="80" w:type="dxa"/>
            </w:tcMar>
          </w:tcPr>
          <w:p>
            <w:pPr>
              <w:spacing w:after="60" w:line="240" w:lineRule="auto"/>
            </w:pPr>
            <w:r>
              <w:rPr>
                <w:b w:val="0"/>
                <w:i w:val="0"/>
                <w:sz w:val="19"/>
              </w:rPr>
              <w:t xml:space="preserve">4, </w:t>
            </w:r>
            <w:r>
              <w:rPr>
                <w:b/>
                <w:i w:val="0"/>
                <w:sz w:val="19"/>
              </w:rPr>
              <w:t>p 0.035</w:t>
            </w:r>
          </w:p>
        </w:tc>
        <w:tc>
          <w:tcPr>
            <w:tcW w:type="dxa" w:w="1389"/>
            <w:tcMar>
              <w:top w:w="80" w:type="dxa"/>
              <w:left w:w="80" w:type="dxa"/>
              <w:bottom w:w="80" w:type="dxa"/>
              <w:right w:w="80" w:type="dxa"/>
            </w:tcMar>
          </w:tcPr>
          <w:p>
            <w:pPr>
              <w:spacing w:after="60" w:line="240" w:lineRule="auto"/>
            </w:pPr>
            <w:r>
              <w:rPr>
                <w:b/>
                <w:i w:val="0"/>
                <w:sz w:val="19"/>
              </w:rPr>
              <w:t>0, p 1.00</w:t>
            </w:r>
          </w:p>
        </w:tc>
        <w:tc>
          <w:tcPr>
            <w:tcW w:type="dxa" w:w="1417"/>
            <w:tcMar>
              <w:top w:w="80" w:type="dxa"/>
              <w:left w:w="80" w:type="dxa"/>
              <w:bottom w:w="80" w:type="dxa"/>
              <w:right w:w="80" w:type="dxa"/>
            </w:tcMar>
          </w:tcPr>
          <w:p>
            <w:pPr>
              <w:spacing w:after="60" w:line="240" w:lineRule="auto"/>
            </w:pPr>
            <w:r>
              <w:rPr>
                <w:b w:val="0"/>
                <w:i w:val="0"/>
                <w:sz w:val="19"/>
              </w:rPr>
              <w:t>0, p 1.00</w:t>
            </w:r>
          </w:p>
        </w:tc>
      </w:tr>
      <w:tr>
        <w:trPr>
          <w:cantSplit/>
        </w:trPr>
        <w:tc>
          <w:tcPr>
            <w:tcW w:type="dxa" w:w="1757"/>
            <w:tcMar>
              <w:top w:w="80" w:type="dxa"/>
              <w:left w:w="80" w:type="dxa"/>
              <w:bottom w:w="80" w:type="dxa"/>
              <w:right w:w="80" w:type="dxa"/>
            </w:tcMar>
          </w:tcPr>
          <w:p>
            <w:pPr>
              <w:spacing w:after="60" w:line="240" w:lineRule="auto"/>
            </w:pPr>
            <w:r>
              <w:rPr>
                <w:b w:val="0"/>
                <w:i w:val="0"/>
                <w:sz w:val="19"/>
              </w:rPr>
              <w:t>5 further NR4A1 experiments</w:t>
            </w:r>
          </w:p>
        </w:tc>
        <w:tc>
          <w:tcPr>
            <w:tcW w:type="dxa" w:w="1020"/>
            <w:tcMar>
              <w:top w:w="80" w:type="dxa"/>
              <w:left w:w="80" w:type="dxa"/>
              <w:bottom w:w="80" w:type="dxa"/>
              <w:right w:w="80" w:type="dxa"/>
            </w:tcMar>
          </w:tcPr>
          <w:p>
            <w:pPr>
              <w:spacing w:after="60" w:line="240" w:lineRule="auto"/>
            </w:pPr>
            <w:r>
              <w:rPr>
                <w:b w:val="0"/>
                <w:i w:val="0"/>
                <w:sz w:val="19"/>
              </w:rPr>
              <w:t>NR4A1</w:t>
            </w:r>
          </w:p>
        </w:tc>
        <w:tc>
          <w:tcPr>
            <w:tcW w:type="dxa" w:w="964"/>
            <w:tcMar>
              <w:top w:w="80" w:type="dxa"/>
              <w:left w:w="80" w:type="dxa"/>
              <w:bottom w:w="80" w:type="dxa"/>
              <w:right w:w="80" w:type="dxa"/>
            </w:tcMar>
          </w:tcPr>
          <w:p>
            <w:pPr>
              <w:spacing w:after="60" w:line="240" w:lineRule="auto"/>
            </w:pPr>
            <w:r>
              <w:rPr>
                <w:b w:val="0"/>
                <w:i w:val="0"/>
                <w:sz w:val="19"/>
              </w:rPr>
              <w:t>305–16,023</w:t>
            </w:r>
          </w:p>
        </w:tc>
        <w:tc>
          <w:tcPr>
            <w:tcW w:type="dxa" w:w="1247"/>
            <w:tcMar>
              <w:top w:w="80" w:type="dxa"/>
              <w:left w:w="80" w:type="dxa"/>
              <w:bottom w:w="80" w:type="dxa"/>
              <w:right w:w="80" w:type="dxa"/>
            </w:tcMar>
          </w:tcPr>
          <w:p>
            <w:pPr>
              <w:spacing w:after="60" w:line="240" w:lineRule="auto"/>
            </w:pPr>
            <w:r>
              <w:rPr>
                <w:b w:val="0"/>
                <w:i w:val="0"/>
                <w:sz w:val="19"/>
              </w:rPr>
              <w:t>2.5–27.3%</w:t>
            </w:r>
          </w:p>
        </w:tc>
        <w:tc>
          <w:tcPr>
            <w:tcW w:type="dxa" w:w="1389"/>
            <w:tcMar>
              <w:top w:w="80" w:type="dxa"/>
              <w:left w:w="80" w:type="dxa"/>
              <w:bottom w:w="80" w:type="dxa"/>
              <w:right w:w="80" w:type="dxa"/>
            </w:tcMar>
          </w:tcPr>
          <w:p>
            <w:pPr>
              <w:spacing w:after="60" w:line="240" w:lineRule="auto"/>
            </w:pPr>
            <w:r>
              <w:rPr>
                <w:b w:val="0"/>
                <w:i w:val="0"/>
                <w:sz w:val="19"/>
              </w:rPr>
              <w:t>0–1, p ≥ 0.26</w:t>
            </w:r>
          </w:p>
        </w:tc>
        <w:tc>
          <w:tcPr>
            <w:tcW w:type="dxa" w:w="1389"/>
            <w:tcMar>
              <w:top w:w="80" w:type="dxa"/>
              <w:left w:w="80" w:type="dxa"/>
              <w:bottom w:w="80" w:type="dxa"/>
              <w:right w:w="80" w:type="dxa"/>
            </w:tcMar>
          </w:tcPr>
          <w:p>
            <w:pPr>
              <w:spacing w:after="60" w:line="240" w:lineRule="auto"/>
            </w:pPr>
            <w:r>
              <w:rPr>
                <w:b w:val="0"/>
                <w:i w:val="0"/>
                <w:sz w:val="19"/>
              </w:rPr>
              <w:t>0, p 1.00</w:t>
            </w:r>
          </w:p>
        </w:tc>
        <w:tc>
          <w:tcPr>
            <w:tcW w:type="dxa" w:w="1417"/>
            <w:tcMar>
              <w:top w:w="80" w:type="dxa"/>
              <w:left w:w="80" w:type="dxa"/>
              <w:bottom w:w="80" w:type="dxa"/>
              <w:right w:w="80" w:type="dxa"/>
            </w:tcMar>
          </w:tcPr>
          <w:p>
            <w:pPr>
              <w:spacing w:after="60" w:line="240" w:lineRule="auto"/>
            </w:pPr>
            <w:r>
              <w:rPr>
                <w:b w:val="0"/>
                <w:i w:val="0"/>
                <w:sz w:val="19"/>
              </w:rPr>
              <w:t>0, p 1.00</w:t>
            </w:r>
          </w:p>
        </w:tc>
      </w:tr>
      <w:tr>
        <w:trPr>
          <w:cantSplit/>
        </w:trPr>
        <w:tc>
          <w:tcPr>
            <w:tcW w:type="dxa" w:w="1757"/>
            <w:tcMar>
              <w:top w:w="80" w:type="dxa"/>
              <w:left w:w="80" w:type="dxa"/>
              <w:bottom w:w="80" w:type="dxa"/>
              <w:right w:w="80" w:type="dxa"/>
            </w:tcMar>
          </w:tcPr>
          <w:p>
            <w:pPr>
              <w:spacing w:after="60" w:line="240" w:lineRule="auto"/>
            </w:pPr>
            <w:r>
              <w:rPr>
                <w:b w:val="0"/>
                <w:i w:val="0"/>
                <w:sz w:val="19"/>
              </w:rPr>
              <w:t>12 ChIP-Atlas NR4A3 peak sets</w:t>
            </w:r>
          </w:p>
        </w:tc>
        <w:tc>
          <w:tcPr>
            <w:tcW w:type="dxa" w:w="1020"/>
            <w:tcMar>
              <w:top w:w="80" w:type="dxa"/>
              <w:left w:w="80" w:type="dxa"/>
              <w:bottom w:w="80" w:type="dxa"/>
              <w:right w:w="80" w:type="dxa"/>
            </w:tcMar>
          </w:tcPr>
          <w:p>
            <w:pPr>
              <w:spacing w:after="60" w:line="240" w:lineRule="auto"/>
            </w:pPr>
            <w:r>
              <w:rPr>
                <w:b w:val="0"/>
                <w:i w:val="0"/>
                <w:sz w:val="19"/>
              </w:rPr>
              <w:t>NR4A3</w:t>
            </w:r>
          </w:p>
        </w:tc>
        <w:tc>
          <w:tcPr>
            <w:tcW w:type="dxa" w:w="964"/>
            <w:tcMar>
              <w:top w:w="80" w:type="dxa"/>
              <w:left w:w="80" w:type="dxa"/>
              <w:bottom w:w="80" w:type="dxa"/>
              <w:right w:w="80" w:type="dxa"/>
            </w:tcMar>
          </w:tcPr>
          <w:p>
            <w:pPr>
              <w:spacing w:after="60" w:line="240" w:lineRule="auto"/>
            </w:pPr>
            <w:r>
              <w:rPr>
                <w:b w:val="0"/>
                <w:i w:val="0"/>
                <w:sz w:val="19"/>
              </w:rPr>
              <w:t>53–154</w:t>
            </w:r>
          </w:p>
        </w:tc>
        <w:tc>
          <w:tcPr>
            <w:tcW w:type="dxa" w:w="1247"/>
            <w:tcMar>
              <w:top w:w="80" w:type="dxa"/>
              <w:left w:w="80" w:type="dxa"/>
              <w:bottom w:w="80" w:type="dxa"/>
              <w:right w:w="80" w:type="dxa"/>
            </w:tcMar>
          </w:tcPr>
          <w:p>
            <w:pPr>
              <w:spacing w:after="60" w:line="240" w:lineRule="auto"/>
            </w:pPr>
            <w:r>
              <w:rPr>
                <w:b/>
                <w:i w:val="0"/>
                <w:sz w:val="19"/>
              </w:rPr>
              <w:t>0.0%</w:t>
            </w:r>
          </w:p>
        </w:tc>
        <w:tc>
          <w:tcPr>
            <w:tcW w:type="dxa" w:w="1389"/>
            <w:tcMar>
              <w:top w:w="80" w:type="dxa"/>
              <w:left w:w="80" w:type="dxa"/>
              <w:bottom w:w="80" w:type="dxa"/>
              <w:right w:w="80" w:type="dxa"/>
            </w:tcMar>
          </w:tcPr>
          <w:p>
            <w:pPr>
              <w:spacing w:after="60" w:line="240" w:lineRule="auto"/>
            </w:pPr>
            <w:r>
              <w:rPr>
                <w:b w:val="0"/>
                <w:i w:val="0"/>
                <w:sz w:val="19"/>
              </w:rPr>
              <w:t>uninformative</w:t>
            </w:r>
          </w:p>
        </w:tc>
        <w:tc>
          <w:tcPr>
            <w:tcW w:type="dxa" w:w="1389"/>
            <w:tcMar>
              <w:top w:w="80" w:type="dxa"/>
              <w:left w:w="80" w:type="dxa"/>
              <w:bottom w:w="80" w:type="dxa"/>
              <w:right w:w="80" w:type="dxa"/>
            </w:tcMar>
          </w:tcPr>
          <w:p>
            <w:pPr>
              <w:spacing w:after="60" w:line="240" w:lineRule="auto"/>
            </w:pPr>
            <w:r>
              <w:rPr>
                <w:b w:val="0"/>
                <w:i w:val="0"/>
                <w:sz w:val="19"/>
              </w:rPr>
              <w:t>uninformative</w:t>
            </w:r>
          </w:p>
        </w:tc>
        <w:tc>
          <w:tcPr>
            <w:tcW w:type="dxa" w:w="1417"/>
            <w:tcMar>
              <w:top w:w="80" w:type="dxa"/>
              <w:left w:w="80" w:type="dxa"/>
              <w:bottom w:w="80" w:type="dxa"/>
              <w:right w:w="80" w:type="dxa"/>
            </w:tcMar>
          </w:tcPr>
          <w:p>
            <w:pPr>
              <w:spacing w:after="60" w:line="240" w:lineRule="auto"/>
            </w:pPr>
            <w:r>
              <w:rPr>
                <w:b w:val="0"/>
                <w:i w:val="0"/>
                <w:sz w:val="19"/>
              </w:rPr>
              <w:t>uninformative</w:t>
            </w:r>
          </w:p>
        </w:tc>
      </w:tr>
    </w:tbl>
    <w:p>
      <w:pPr>
        <w:keepNext/>
        <w:spacing w:before="160"/>
      </w:pPr>
      <w:r>
        <w:rPr>
          <w:b/>
          <w:i w:val="0"/>
        </w:rPr>
        <w:t>Supplementary Table S15. The cohort search, grouped by why each deposit is not a fourth cohort.</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998"/>
        <w:gridCol w:w="3560"/>
        <w:gridCol w:w="1186"/>
        <w:gridCol w:w="2440"/>
      </w:tblGrid>
      <w:tr>
        <w:trPr>
          <w:cantSplit/>
          <w:tblHeader/>
        </w:trPr>
        <w:tc>
          <w:tcPr>
            <w:tcW w:type="dxa" w:w="1998"/>
            <w:tcMar>
              <w:top w:w="80" w:type="dxa"/>
              <w:left w:w="80" w:type="dxa"/>
              <w:bottom w:w="80" w:type="dxa"/>
              <w:right w:w="80" w:type="dxa"/>
            </w:tcMar>
          </w:tcPr>
          <w:p>
            <w:pPr>
              <w:keepNext/>
              <w:spacing w:after="60" w:line="240" w:lineRule="auto"/>
            </w:pPr>
            <w:r>
              <w:rPr>
                <w:b/>
                <w:i w:val="0"/>
                <w:sz w:val="19"/>
              </w:rPr>
              <w:t>group</w:t>
            </w:r>
          </w:p>
        </w:tc>
        <w:tc>
          <w:tcPr>
            <w:tcW w:type="dxa" w:w="3560"/>
            <w:tcMar>
              <w:top w:w="80" w:type="dxa"/>
              <w:left w:w="80" w:type="dxa"/>
              <w:bottom w:w="80" w:type="dxa"/>
              <w:right w:w="80" w:type="dxa"/>
            </w:tcMar>
          </w:tcPr>
          <w:p>
            <w:pPr>
              <w:keepNext/>
              <w:spacing w:after="60" w:line="240" w:lineRule="auto"/>
            </w:pPr>
            <w:r>
              <w:rPr>
                <w:b/>
                <w:i w:val="0"/>
                <w:sz w:val="19"/>
              </w:rPr>
              <w:t>deposits</w:t>
            </w:r>
          </w:p>
        </w:tc>
        <w:tc>
          <w:tcPr>
            <w:tcW w:type="dxa" w:w="1186"/>
            <w:tcMar>
              <w:top w:w="80" w:type="dxa"/>
              <w:left w:w="80" w:type="dxa"/>
              <w:bottom w:w="80" w:type="dxa"/>
              <w:right w:w="80" w:type="dxa"/>
            </w:tcMar>
          </w:tcPr>
          <w:p>
            <w:pPr>
              <w:keepNext/>
              <w:spacing w:after="60" w:line="240" w:lineRule="auto"/>
            </w:pPr>
            <w:r>
              <w:rPr>
                <w:b/>
                <w:i w:val="0"/>
                <w:sz w:val="19"/>
              </w:rPr>
              <w:t>EMC samples</w:t>
            </w:r>
          </w:p>
        </w:tc>
        <w:tc>
          <w:tcPr>
            <w:tcW w:type="dxa" w:w="2440"/>
            <w:tcMar>
              <w:top w:w="80" w:type="dxa"/>
              <w:left w:w="80" w:type="dxa"/>
              <w:bottom w:w="80" w:type="dxa"/>
              <w:right w:w="80" w:type="dxa"/>
            </w:tcMar>
          </w:tcPr>
          <w:p>
            <w:pPr>
              <w:keepNext/>
              <w:spacing w:after="60" w:line="240" w:lineRule="auto"/>
            </w:pPr>
            <w:r>
              <w:rPr>
                <w:b/>
                <w:i w:val="0"/>
                <w:sz w:val="19"/>
              </w:rPr>
              <w:t>disposition</w:t>
            </w:r>
          </w:p>
        </w:tc>
      </w:tr>
      <w:tr>
        <w:trPr>
          <w:cantSplit/>
        </w:trPr>
        <w:tc>
          <w:tcPr>
            <w:tcW w:type="dxa" w:w="1998"/>
            <w:tcMar>
              <w:top w:w="80" w:type="dxa"/>
              <w:left w:w="80" w:type="dxa"/>
              <w:bottom w:w="80" w:type="dxa"/>
              <w:right w:w="80" w:type="dxa"/>
            </w:tcMar>
          </w:tcPr>
          <w:p>
            <w:pPr>
              <w:spacing w:after="60" w:line="240" w:lineRule="auto"/>
            </w:pPr>
            <w:r>
              <w:rPr>
                <w:b/>
                <w:i w:val="0"/>
                <w:sz w:val="19"/>
              </w:rPr>
              <w:t>The three cohorts analysed here</w:t>
            </w:r>
          </w:p>
        </w:tc>
        <w:tc>
          <w:tcPr>
            <w:tcW w:type="dxa" w:w="3560"/>
            <w:tcMar>
              <w:top w:w="80" w:type="dxa"/>
              <w:left w:w="80" w:type="dxa"/>
              <w:bottom w:w="80" w:type="dxa"/>
              <w:right w:w="80" w:type="dxa"/>
            </w:tcMar>
          </w:tcPr>
          <w:p>
            <w:pPr>
              <w:spacing w:after="60" w:line="240" w:lineRule="auto"/>
            </w:pPr>
            <w:r>
              <w:rPr>
                <w:b w:val="0"/>
                <w:i w:val="0"/>
                <w:sz w:val="19"/>
              </w:rPr>
              <w:t>GSE24369 (42 samples), GSE4303 (36), GSE28866 (99)</w:t>
            </w:r>
          </w:p>
        </w:tc>
        <w:tc>
          <w:tcPr>
            <w:tcW w:type="dxa" w:w="1186"/>
            <w:tcMar>
              <w:top w:w="80" w:type="dxa"/>
              <w:left w:w="80" w:type="dxa"/>
              <w:bottom w:w="80" w:type="dxa"/>
              <w:right w:w="80" w:type="dxa"/>
            </w:tcMar>
          </w:tcPr>
          <w:p>
            <w:pPr>
              <w:spacing w:after="60" w:line="240" w:lineRule="auto"/>
            </w:pPr>
            <w:r>
              <w:rPr>
                <w:b/>
                <w:i w:val="0"/>
                <w:sz w:val="19"/>
              </w:rPr>
              <w:t>6, 10, 4</w:t>
            </w:r>
          </w:p>
        </w:tc>
        <w:tc>
          <w:tcPr>
            <w:tcW w:type="dxa" w:w="2440"/>
            <w:tcMar>
              <w:top w:w="80" w:type="dxa"/>
              <w:left w:w="80" w:type="dxa"/>
              <w:bottom w:w="80" w:type="dxa"/>
              <w:right w:w="80" w:type="dxa"/>
            </w:tcMar>
          </w:tcPr>
          <w:p>
            <w:pPr>
              <w:spacing w:after="60" w:line="240" w:lineRule="auto"/>
            </w:pPr>
            <w:r>
              <w:rPr>
                <w:b w:val="0"/>
                <w:i w:val="0"/>
                <w:sz w:val="19"/>
              </w:rPr>
              <w:t>already used — and the search's positive control</w:t>
            </w:r>
          </w:p>
        </w:tc>
      </w:tr>
      <w:tr>
        <w:trPr>
          <w:cantSplit/>
        </w:trPr>
        <w:tc>
          <w:tcPr>
            <w:tcW w:type="dxa" w:w="1998"/>
            <w:tcMar>
              <w:top w:w="80" w:type="dxa"/>
              <w:left w:w="80" w:type="dxa"/>
              <w:bottom w:w="80" w:type="dxa"/>
              <w:right w:w="80" w:type="dxa"/>
            </w:tcMar>
          </w:tcPr>
          <w:p>
            <w:pPr>
              <w:spacing w:after="60" w:line="240" w:lineRule="auto"/>
            </w:pPr>
            <w:r>
              <w:rPr>
                <w:b/>
                <w:i w:val="0"/>
                <w:sz w:val="19"/>
              </w:rPr>
              <w:t>The same EWS/NOR1 construct experiment</w:t>
            </w:r>
          </w:p>
        </w:tc>
        <w:tc>
          <w:tcPr>
            <w:tcW w:type="dxa" w:w="3560"/>
            <w:tcMar>
              <w:top w:w="80" w:type="dxa"/>
              <w:left w:w="80" w:type="dxa"/>
              <w:bottom w:w="80" w:type="dxa"/>
              <w:right w:w="80" w:type="dxa"/>
            </w:tcMar>
          </w:tcPr>
          <w:p>
            <w:pPr>
              <w:spacing w:after="60" w:line="240" w:lineRule="auto"/>
            </w:pPr>
            <w:r>
              <w:rPr>
                <w:b w:val="0"/>
                <w:i w:val="0"/>
                <w:sz w:val="19"/>
              </w:rPr>
              <w:t>GSE11185 (4), GDS3481 (its curated view)</w:t>
            </w:r>
          </w:p>
        </w:tc>
        <w:tc>
          <w:tcPr>
            <w:tcW w:type="dxa" w:w="1186"/>
            <w:tcMar>
              <w:top w:w="80" w:type="dxa"/>
              <w:left w:w="80" w:type="dxa"/>
              <w:bottom w:w="80" w:type="dxa"/>
              <w:right w:w="80" w:type="dxa"/>
            </w:tcMar>
          </w:tcPr>
          <w:p>
            <w:pPr>
              <w:spacing w:after="60" w:line="240" w:lineRule="auto"/>
            </w:pPr>
            <w:r>
              <w:rPr>
                <w:b w:val="0"/>
                <w:i w:val="0"/>
                <w:sz w:val="19"/>
              </w:rPr>
              <w:t>2 sample labels</w:t>
            </w:r>
          </w:p>
        </w:tc>
        <w:tc>
          <w:tcPr>
            <w:tcW w:type="dxa" w:w="2440"/>
            <w:tcMar>
              <w:top w:w="80" w:type="dxa"/>
              <w:left w:w="80" w:type="dxa"/>
              <w:bottom w:w="80" w:type="dxa"/>
              <w:right w:w="80" w:type="dxa"/>
            </w:tcMar>
          </w:tcPr>
          <w:p>
            <w:pPr>
              <w:spacing w:after="60" w:line="240" w:lineRule="auto"/>
            </w:pPr>
            <w:r>
              <w:rPr>
                <w:b w:val="0"/>
                <w:i w:val="0"/>
                <w:sz w:val="19"/>
              </w:rPr>
              <w:t>HEK293 cells carrying a tet-inducible construct — not a tumour cohort</w:t>
            </w:r>
          </w:p>
        </w:tc>
      </w:tr>
      <w:tr>
        <w:trPr>
          <w:cantSplit/>
        </w:trPr>
        <w:tc>
          <w:tcPr>
            <w:tcW w:type="dxa" w:w="1998"/>
            <w:tcMar>
              <w:top w:w="80" w:type="dxa"/>
              <w:left w:w="80" w:type="dxa"/>
              <w:bottom w:w="80" w:type="dxa"/>
              <w:right w:w="80" w:type="dxa"/>
            </w:tcMar>
          </w:tcPr>
          <w:p>
            <w:pPr>
              <w:spacing w:after="60" w:line="240" w:lineRule="auto"/>
            </w:pPr>
            <w:r>
              <w:rPr>
                <w:b/>
                <w:i w:val="0"/>
                <w:sz w:val="19"/>
              </w:rPr>
              <w:t>Other sarcoma and chondrosarcoma series</w:t>
            </w:r>
          </w:p>
        </w:tc>
        <w:tc>
          <w:tcPr>
            <w:tcW w:type="dxa" w:w="3560"/>
            <w:tcMar>
              <w:top w:w="80" w:type="dxa"/>
              <w:left w:w="80" w:type="dxa"/>
              <w:bottom w:w="80" w:type="dxa"/>
              <w:right w:w="80" w:type="dxa"/>
            </w:tcMar>
          </w:tcPr>
          <w:p>
            <w:pPr>
              <w:spacing w:after="60" w:line="240" w:lineRule="auto"/>
            </w:pPr>
            <w:r>
              <w:rPr>
                <w:b w:val="0"/>
                <w:i w:val="0"/>
                <w:sz w:val="19"/>
              </w:rPr>
              <w:t>17 deposits, 4–51 samples each: GSE12475, GSE12592, GSE14469, GSE29085, GSE43045, GSE43632, GSE44934, GSE52677, GSE52679, GSE62747, GSE80126, GSE150474, GSE168560, GSE196000, GSE196002, GSE289237, GSE315379</w:t>
            </w:r>
          </w:p>
        </w:tc>
        <w:tc>
          <w:tcPr>
            <w:tcW w:type="dxa" w:w="1186"/>
            <w:tcMar>
              <w:top w:w="80" w:type="dxa"/>
              <w:left w:w="80" w:type="dxa"/>
              <w:bottom w:w="80" w:type="dxa"/>
              <w:right w:w="80" w:type="dxa"/>
            </w:tcMar>
          </w:tcPr>
          <w:p>
            <w:pPr>
              <w:spacing w:after="60" w:line="240" w:lineRule="auto"/>
            </w:pPr>
            <w:r>
              <w:rPr>
                <w:b/>
                <w:i w:val="0"/>
                <w:sz w:val="19"/>
              </w:rPr>
              <w:t>0 in every one</w:t>
            </w:r>
          </w:p>
        </w:tc>
        <w:tc>
          <w:tcPr>
            <w:tcW w:type="dxa" w:w="2440"/>
            <w:tcMar>
              <w:top w:w="80" w:type="dxa"/>
              <w:left w:w="80" w:type="dxa"/>
              <w:bottom w:w="80" w:type="dxa"/>
              <w:right w:w="80" w:type="dxa"/>
            </w:tcMar>
          </w:tcPr>
          <w:p>
            <w:pPr>
              <w:spacing w:after="60" w:line="240" w:lineRule="auto"/>
            </w:pPr>
            <w:r>
              <w:rPr>
                <w:b w:val="0"/>
                <w:i w:val="0"/>
                <w:sz w:val="19"/>
              </w:rPr>
              <w:t>read at sample level; no EMC sample in any</w:t>
            </w:r>
          </w:p>
        </w:tc>
      </w:tr>
    </w:tbl>
    <w:p>
      <w:pPr>
        <w:keepNext/>
        <w:spacing w:before="160"/>
      </w:pPr>
      <w:r>
        <w:rPr>
          <w:b/>
          <w:i w:val="0"/>
        </w:rPr>
        <w:t>Supplementary Table S16. Public datasets used in the report.</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638"/>
        <w:gridCol w:w="1638"/>
        <w:gridCol w:w="1955"/>
        <w:gridCol w:w="3952"/>
      </w:tblGrid>
      <w:tr>
        <w:trPr>
          <w:cantSplit/>
          <w:tblHeader/>
        </w:trPr>
        <w:tc>
          <w:tcPr>
            <w:tcW w:type="dxa" w:w="1638"/>
            <w:tcMar>
              <w:top w:w="80" w:type="dxa"/>
              <w:left w:w="80" w:type="dxa"/>
              <w:bottom w:w="80" w:type="dxa"/>
              <w:right w:w="80" w:type="dxa"/>
            </w:tcMar>
          </w:tcPr>
          <w:p>
            <w:pPr>
              <w:keepNext/>
              <w:spacing w:after="60" w:line="240" w:lineRule="auto"/>
            </w:pPr>
            <w:r>
              <w:rPr>
                <w:b/>
                <w:i w:val="0"/>
                <w:sz w:val="19"/>
              </w:rPr>
              <w:t>accession</w:t>
            </w:r>
          </w:p>
        </w:tc>
        <w:tc>
          <w:tcPr>
            <w:tcW w:type="dxa" w:w="1638"/>
            <w:tcMar>
              <w:top w:w="80" w:type="dxa"/>
              <w:left w:w="80" w:type="dxa"/>
              <w:bottom w:w="80" w:type="dxa"/>
              <w:right w:w="80" w:type="dxa"/>
            </w:tcMar>
          </w:tcPr>
          <w:p>
            <w:pPr>
              <w:keepNext/>
              <w:spacing w:after="60" w:line="240" w:lineRule="auto"/>
            </w:pPr>
            <w:r>
              <w:rPr>
                <w:b/>
                <w:i w:val="0"/>
                <w:sz w:val="19"/>
              </w:rPr>
              <w:t>platform</w:t>
            </w:r>
          </w:p>
        </w:tc>
        <w:tc>
          <w:tcPr>
            <w:tcW w:type="dxa" w:w="1955"/>
            <w:tcMar>
              <w:top w:w="80" w:type="dxa"/>
              <w:left w:w="80" w:type="dxa"/>
              <w:bottom w:w="80" w:type="dxa"/>
              <w:right w:w="80" w:type="dxa"/>
            </w:tcMar>
          </w:tcPr>
          <w:p>
            <w:pPr>
              <w:keepNext/>
              <w:spacing w:after="60" w:line="240" w:lineRule="auto"/>
            </w:pPr>
            <w:r>
              <w:rPr>
                <w:b/>
                <w:i w:val="0"/>
                <w:sz w:val="19"/>
              </w:rPr>
              <w:t>source</w:t>
            </w:r>
          </w:p>
        </w:tc>
        <w:tc>
          <w:tcPr>
            <w:tcW w:type="dxa" w:w="3952"/>
            <w:tcMar>
              <w:top w:w="80" w:type="dxa"/>
              <w:left w:w="80" w:type="dxa"/>
              <w:bottom w:w="80" w:type="dxa"/>
              <w:right w:w="80" w:type="dxa"/>
            </w:tcMar>
          </w:tcPr>
          <w:p>
            <w:pPr>
              <w:keepNext/>
              <w:spacing w:after="60" w:line="240" w:lineRule="auto"/>
            </w:pPr>
            <w:r>
              <w:rPr>
                <w:b/>
                <w:i w:val="0"/>
                <w:sz w:val="19"/>
              </w:rPr>
              <w:t>primary publication</w:t>
            </w:r>
          </w:p>
        </w:tc>
      </w:tr>
      <w:tr>
        <w:trPr>
          <w:cantSplit/>
        </w:trPr>
        <w:tc>
          <w:tcPr>
            <w:tcW w:type="dxa" w:w="1638"/>
            <w:tcMar>
              <w:top w:w="80" w:type="dxa"/>
              <w:left w:w="80" w:type="dxa"/>
              <w:bottom w:w="80" w:type="dxa"/>
              <w:right w:w="80" w:type="dxa"/>
            </w:tcMar>
          </w:tcPr>
          <w:p>
            <w:pPr>
              <w:spacing w:after="60" w:line="240" w:lineRule="auto"/>
            </w:pPr>
            <w:r>
              <w:rPr>
                <w:b w:val="0"/>
                <w:i w:val="0"/>
                <w:sz w:val="19"/>
              </w:rPr>
              <w:t>GSE24369</w:t>
            </w:r>
          </w:p>
        </w:tc>
        <w:tc>
          <w:tcPr>
            <w:tcW w:type="dxa" w:w="1638"/>
            <w:tcMar>
              <w:top w:w="80" w:type="dxa"/>
              <w:left w:w="80" w:type="dxa"/>
              <w:bottom w:w="80" w:type="dxa"/>
              <w:right w:w="80" w:type="dxa"/>
            </w:tcMar>
          </w:tcPr>
          <w:p>
            <w:pPr>
              <w:spacing w:after="60" w:line="240" w:lineRule="auto"/>
            </w:pPr>
            <w:r>
              <w:rPr>
                <w:b w:val="0"/>
                <w:i w:val="0"/>
                <w:sz w:val="19"/>
              </w:rPr>
              <w:t>GPL6244</w:t>
            </w:r>
          </w:p>
        </w:tc>
        <w:tc>
          <w:tcPr>
            <w:tcW w:type="dxa" w:w="1955"/>
            <w:tcMar>
              <w:top w:w="80" w:type="dxa"/>
              <w:left w:w="80" w:type="dxa"/>
              <w:bottom w:w="80" w:type="dxa"/>
              <w:right w:w="80" w:type="dxa"/>
            </w:tcMar>
          </w:tcPr>
          <w:p>
            <w:pPr>
              <w:spacing w:after="60" w:line="240" w:lineRule="auto"/>
            </w:pPr>
            <w:r>
              <w:rPr>
                <w:b w:val="0"/>
                <w:i w:val="0"/>
                <w:sz w:val="19"/>
              </w:rPr>
              <w:t>NCBI GEO</w:t>
            </w:r>
          </w:p>
        </w:tc>
        <w:tc>
          <w:tcPr>
            <w:tcW w:type="dxa" w:w="3952"/>
            <w:tcMar>
              <w:top w:w="80" w:type="dxa"/>
              <w:left w:w="80" w:type="dxa"/>
              <w:bottom w:w="80" w:type="dxa"/>
              <w:right w:w="80" w:type="dxa"/>
            </w:tcMar>
          </w:tcPr>
          <w:p>
            <w:pPr>
              <w:spacing w:after="60" w:line="240" w:lineRule="auto"/>
            </w:pPr>
            <w:r>
              <w:rPr>
                <w:b w:val="0"/>
                <w:i w:val="0"/>
                <w:sz w:val="19"/>
              </w:rPr>
              <w:t>linked series PubMed identifier 21536545</w:t>
            </w:r>
          </w:p>
        </w:tc>
      </w:tr>
      <w:tr>
        <w:trPr>
          <w:cantSplit/>
        </w:trPr>
        <w:tc>
          <w:tcPr>
            <w:tcW w:type="dxa" w:w="1638"/>
            <w:tcMar>
              <w:top w:w="80" w:type="dxa"/>
              <w:left w:w="80" w:type="dxa"/>
              <w:bottom w:w="80" w:type="dxa"/>
              <w:right w:w="80" w:type="dxa"/>
            </w:tcMar>
          </w:tcPr>
          <w:p>
            <w:pPr>
              <w:spacing w:after="60" w:line="240" w:lineRule="auto"/>
            </w:pPr>
            <w:r>
              <w:rPr>
                <w:b w:val="0"/>
                <w:i w:val="0"/>
                <w:sz w:val="19"/>
              </w:rPr>
              <w:t>GSE4303</w:t>
            </w:r>
          </w:p>
        </w:tc>
        <w:tc>
          <w:tcPr>
            <w:tcW w:type="dxa" w:w="1638"/>
            <w:tcMar>
              <w:top w:w="80" w:type="dxa"/>
              <w:left w:w="80" w:type="dxa"/>
              <w:bottom w:w="80" w:type="dxa"/>
              <w:right w:w="80" w:type="dxa"/>
            </w:tcMar>
          </w:tcPr>
          <w:p>
            <w:pPr>
              <w:spacing w:after="60" w:line="240" w:lineRule="auto"/>
            </w:pPr>
            <w:r>
              <w:rPr>
                <w:b w:val="0"/>
                <w:i w:val="0"/>
                <w:sz w:val="19"/>
              </w:rPr>
              <w:t>GPL3290</w:t>
            </w:r>
          </w:p>
        </w:tc>
        <w:tc>
          <w:tcPr>
            <w:tcW w:type="dxa" w:w="1955"/>
            <w:tcMar>
              <w:top w:w="80" w:type="dxa"/>
              <w:left w:w="80" w:type="dxa"/>
              <w:bottom w:w="80" w:type="dxa"/>
              <w:right w:w="80" w:type="dxa"/>
            </w:tcMar>
          </w:tcPr>
          <w:p>
            <w:pPr>
              <w:spacing w:after="60" w:line="240" w:lineRule="auto"/>
            </w:pPr>
            <w:r>
              <w:rPr>
                <w:b w:val="0"/>
                <w:i w:val="0"/>
                <w:sz w:val="19"/>
              </w:rPr>
              <w:t>NCBI GEO</w:t>
            </w:r>
          </w:p>
        </w:tc>
        <w:tc>
          <w:tcPr>
            <w:tcW w:type="dxa" w:w="3952"/>
            <w:tcMar>
              <w:top w:w="80" w:type="dxa"/>
              <w:left w:w="80" w:type="dxa"/>
              <w:bottom w:w="80" w:type="dxa"/>
              <w:right w:w="80" w:type="dxa"/>
            </w:tcMar>
          </w:tcPr>
          <w:p>
            <w:pPr>
              <w:spacing w:after="60" w:line="240" w:lineRule="auto"/>
            </w:pPr>
            <w:r>
              <w:rPr>
                <w:b w:val="0"/>
                <w:i w:val="0"/>
                <w:sz w:val="19"/>
              </w:rPr>
              <w:t xml:space="preserve">Subramanian </w:t>
            </w:r>
            <w:r>
              <w:rPr>
                <w:b w:val="0"/>
                <w:i/>
                <w:sz w:val="19"/>
              </w:rPr>
              <w:t>et al.</w:t>
            </w:r>
            <w:r>
              <w:rPr>
                <w:b w:val="0"/>
                <w:i w:val="0"/>
                <w:sz w:val="19"/>
              </w:rPr>
              <w:t xml:space="preserve">, </w:t>
            </w:r>
            <w:r>
              <w:rPr>
                <w:b w:val="0"/>
                <w:i/>
                <w:sz w:val="19"/>
              </w:rPr>
              <w:t>J Pathol</w:t>
            </w:r>
            <w:r>
              <w:rPr>
                <w:b w:val="0"/>
                <w:i w:val="0"/>
                <w:sz w:val="19"/>
              </w:rPr>
              <w:t xml:space="preserve"> 2005;206:433–444 (PMID 15920699)</w:t>
            </w:r>
          </w:p>
        </w:tc>
      </w:tr>
      <w:tr>
        <w:trPr>
          <w:cantSplit/>
        </w:trPr>
        <w:tc>
          <w:tcPr>
            <w:tcW w:type="dxa" w:w="1638"/>
            <w:tcMar>
              <w:top w:w="80" w:type="dxa"/>
              <w:left w:w="80" w:type="dxa"/>
              <w:bottom w:w="80" w:type="dxa"/>
              <w:right w:w="80" w:type="dxa"/>
            </w:tcMar>
          </w:tcPr>
          <w:p>
            <w:pPr>
              <w:spacing w:after="60" w:line="240" w:lineRule="auto"/>
            </w:pPr>
            <w:r>
              <w:rPr>
                <w:b w:val="0"/>
                <w:i w:val="0"/>
                <w:sz w:val="19"/>
              </w:rPr>
              <w:t>GSE28866</w:t>
            </w:r>
          </w:p>
        </w:tc>
        <w:tc>
          <w:tcPr>
            <w:tcW w:type="dxa" w:w="1638"/>
            <w:tcMar>
              <w:top w:w="80" w:type="dxa"/>
              <w:left w:w="80" w:type="dxa"/>
              <w:bottom w:w="80" w:type="dxa"/>
              <w:right w:w="80" w:type="dxa"/>
            </w:tcMar>
          </w:tcPr>
          <w:p>
            <w:pPr>
              <w:spacing w:after="60" w:line="240" w:lineRule="auto"/>
            </w:pPr>
            <w:r>
              <w:rPr>
                <w:b w:val="0"/>
                <w:i w:val="0"/>
                <w:sz w:val="19"/>
              </w:rPr>
              <w:t>3SEQ / GPL10999</w:t>
            </w:r>
          </w:p>
        </w:tc>
        <w:tc>
          <w:tcPr>
            <w:tcW w:type="dxa" w:w="1955"/>
            <w:tcMar>
              <w:top w:w="80" w:type="dxa"/>
              <w:left w:w="80" w:type="dxa"/>
              <w:bottom w:w="80" w:type="dxa"/>
              <w:right w:w="80" w:type="dxa"/>
            </w:tcMar>
          </w:tcPr>
          <w:p>
            <w:pPr>
              <w:spacing w:after="60" w:line="240" w:lineRule="auto"/>
            </w:pPr>
            <w:r>
              <w:rPr>
                <w:b w:val="0"/>
                <w:i w:val="0"/>
                <w:sz w:val="19"/>
              </w:rPr>
              <w:t>NCBI GEO series supplementary peak tables</w:t>
            </w:r>
          </w:p>
        </w:tc>
        <w:tc>
          <w:tcPr>
            <w:tcW w:type="dxa" w:w="3952"/>
            <w:tcMar>
              <w:top w:w="80" w:type="dxa"/>
              <w:left w:w="80" w:type="dxa"/>
              <w:bottom w:w="80" w:type="dxa"/>
              <w:right w:w="80" w:type="dxa"/>
            </w:tcMar>
          </w:tcPr>
          <w:p>
            <w:pPr>
              <w:spacing w:after="60" w:line="240" w:lineRule="auto"/>
            </w:pPr>
            <w:r>
              <w:rPr>
                <w:b w:val="0"/>
                <w:i w:val="0"/>
                <w:sz w:val="19"/>
              </w:rPr>
              <w:t xml:space="preserve">Brunner </w:t>
            </w:r>
            <w:r>
              <w:rPr>
                <w:b w:val="0"/>
                <w:i/>
                <w:sz w:val="19"/>
              </w:rPr>
              <w:t>et al.</w:t>
            </w:r>
            <w:r>
              <w:rPr>
                <w:b w:val="0"/>
                <w:i w:val="0"/>
                <w:sz w:val="19"/>
              </w:rPr>
              <w:t xml:space="preserve">, </w:t>
            </w:r>
            <w:r>
              <w:rPr>
                <w:b w:val="0"/>
                <w:i/>
                <w:sz w:val="19"/>
              </w:rPr>
              <w:t>Genome Biol</w:t>
            </w:r>
            <w:r>
              <w:rPr>
                <w:b w:val="0"/>
                <w:i w:val="0"/>
                <w:sz w:val="19"/>
              </w:rPr>
              <w:t xml:space="preserve"> 2012;13(8):R75 (PMID 22929540)</w:t>
            </w:r>
          </w:p>
        </w:tc>
      </w:tr>
    </w:tbl>
    <w:p>
      <w:pPr>
        <w:keepNext/>
        <w:spacing w:before="160"/>
      </w:pPr>
      <w:r>
        <w:rPr>
          <w:b/>
          <w:i w:val="0"/>
        </w:rPr>
        <w:t>Supplementary Table S17. Retained code and artifact inventory from the source report.</w:t>
      </w:r>
    </w:p>
    <w:p>
      <w:r>
        <w:rPr>
          <w:b w:val="0"/>
          <w:i w:val="0"/>
        </w:rPr>
        <w:t>This table preserves source descriptions. It is not a new certification of complete historical dependency preservation or re-execution.</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5975"/>
        <w:gridCol w:w="3209"/>
      </w:tblGrid>
      <w:tr>
        <w:trPr>
          <w:cantSplit/>
          <w:tblHeader/>
        </w:trPr>
        <w:tc>
          <w:tcPr>
            <w:tcW w:type="dxa" w:w="5975"/>
            <w:tcMar>
              <w:top w:w="80" w:type="dxa"/>
              <w:left w:w="80" w:type="dxa"/>
              <w:bottom w:w="80" w:type="dxa"/>
              <w:right w:w="80" w:type="dxa"/>
            </w:tcMar>
          </w:tcPr>
          <w:p>
            <w:pPr>
              <w:keepNext/>
              <w:spacing w:after="60" w:line="240" w:lineRule="auto"/>
            </w:pPr>
            <w:r>
              <w:rPr>
                <w:b/>
                <w:i w:val="0"/>
                <w:sz w:val="19"/>
              </w:rPr>
              <w:t>artifact</w:t>
            </w:r>
          </w:p>
        </w:tc>
        <w:tc>
          <w:tcPr>
            <w:tcW w:type="dxa" w:w="3209"/>
            <w:tcMar>
              <w:top w:w="80" w:type="dxa"/>
              <w:left w:w="80" w:type="dxa"/>
              <w:bottom w:w="80" w:type="dxa"/>
              <w:right w:w="80" w:type="dxa"/>
            </w:tcMar>
          </w:tcPr>
          <w:p>
            <w:pPr>
              <w:keepNext/>
              <w:spacing w:after="60" w:line="240" w:lineRule="auto"/>
            </w:pPr>
            <w:r>
              <w:rPr>
                <w:b/>
                <w:i w:val="0"/>
                <w:sz w:val="19"/>
              </w:rPr>
              <w:t>producer</w:t>
            </w:r>
          </w:p>
        </w:tc>
      </w:tr>
      <w:tr>
        <w:trPr>
          <w:cantSplit/>
        </w:trPr>
        <w:tc>
          <w:tcPr>
            <w:tcW w:type="dxa" w:w="5975"/>
            <w:tcMar>
              <w:top w:w="80" w:type="dxa"/>
              <w:left w:w="80" w:type="dxa"/>
              <w:bottom w:w="80" w:type="dxa"/>
              <w:right w:w="80" w:type="dxa"/>
            </w:tcMar>
          </w:tcPr>
          <w:p>
            <w:pPr>
              <w:spacing w:after="60" w:line="240" w:lineRule="auto"/>
            </w:pPr>
            <w:r>
              <w:rPr>
                <w:rFonts w:ascii="Consolas" w:hAnsi="Consolas"/>
                <w:b w:val="0"/>
                <w:i w:val="0"/>
                <w:sz w:val="19"/>
              </w:rPr>
              <w:t>nr4a3-fusion-targets.json</w:t>
            </w:r>
            <w:r>
              <w:rPr>
                <w:b w:val="0"/>
                <w:i w:val="0"/>
                <w:sz w:val="19"/>
              </w:rPr>
              <w:t xml:space="preserve"> — evidence table, global offsets, null calibrations, per-gene and per-set scores, controls, circularity grade</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nr4a3_fusion_targets.py</w:t>
            </w:r>
          </w:p>
        </w:tc>
      </w:tr>
      <w:tr>
        <w:trPr>
          <w:cantSplit/>
        </w:trPr>
        <w:tc>
          <w:tcPr>
            <w:tcW w:type="dxa" w:w="5975"/>
            <w:tcMar>
              <w:top w:w="80" w:type="dxa"/>
              <w:left w:w="80" w:type="dxa"/>
              <w:bottom w:w="80" w:type="dxa"/>
              <w:right w:w="80" w:type="dxa"/>
            </w:tcMar>
          </w:tcPr>
          <w:p>
            <w:pPr>
              <w:spacing w:after="60" w:line="240" w:lineRule="auto"/>
            </w:pPr>
            <w:r>
              <w:rPr>
                <w:rFonts w:ascii="Consolas" w:hAnsi="Consolas"/>
                <w:b w:val="0"/>
                <w:i w:val="0"/>
                <w:sz w:val="19"/>
              </w:rPr>
              <w:t>emc-expression-panels.json</w:t>
            </w:r>
            <w:r>
              <w:rPr>
                <w:b w:val="0"/>
                <w:i w:val="0"/>
                <w:sz w:val="19"/>
              </w:rPr>
              <w:t xml:space="preserve"> → </w:t>
            </w:r>
            <w:r>
              <w:rPr>
                <w:rFonts w:ascii="Consolas" w:hAnsi="Consolas"/>
                <w:b w:val="0"/>
                <w:i w:val="0"/>
                <w:sz w:val="19"/>
              </w:rPr>
              <w:t>gene_reads</w:t>
            </w:r>
            <w:r>
              <w:rPr>
                <w:b w:val="0"/>
                <w:i w:val="0"/>
                <w:sz w:val="19"/>
              </w:rPr>
              <w:t xml:space="preserve"> — the independent second implementation of the per-gene array reads</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emc_expression_panels.py</w:t>
            </w:r>
          </w:p>
        </w:tc>
      </w:tr>
      <w:tr>
        <w:trPr>
          <w:cantSplit/>
        </w:trPr>
        <w:tc>
          <w:tcPr>
            <w:tcW w:type="dxa" w:w="5975"/>
            <w:tcMar>
              <w:top w:w="80" w:type="dxa"/>
              <w:left w:w="80" w:type="dxa"/>
              <w:bottom w:w="80" w:type="dxa"/>
              <w:right w:w="80" w:type="dxa"/>
            </w:tcMar>
          </w:tcPr>
          <w:p>
            <w:pPr>
              <w:spacing w:after="60" w:line="240" w:lineRule="auto"/>
            </w:pPr>
            <w:r>
              <w:rPr>
                <w:rFonts w:ascii="Consolas" w:hAnsi="Consolas"/>
                <w:b w:val="0"/>
                <w:i w:val="0"/>
                <w:sz w:val="19"/>
              </w:rPr>
              <w:t>gse28866-tumour-vs-normal.json</w:t>
            </w:r>
            <w:r>
              <w:rPr>
                <w:b w:val="0"/>
                <w:i w:val="0"/>
                <w:sz w:val="19"/>
              </w:rPr>
              <w:t xml:space="preserve"> → </w:t>
            </w:r>
            <w:r>
              <w:rPr>
                <w:rFonts w:ascii="Consolas" w:hAnsi="Consolas"/>
                <w:b w:val="0"/>
                <w:i w:val="0"/>
                <w:sz w:val="19"/>
              </w:rPr>
              <w:t>per_gene.values</w:t>
            </w:r>
            <w:r>
              <w:rPr>
                <w:b w:val="0"/>
                <w:i w:val="0"/>
                <w:sz w:val="19"/>
              </w:rPr>
              <w:t xml:space="preserve"> and </w:t>
            </w:r>
            <w:r>
              <w:rPr>
                <w:rFonts w:ascii="Consolas" w:hAnsi="Consolas"/>
                <w:b w:val="0"/>
                <w:i w:val="0"/>
                <w:sz w:val="19"/>
              </w:rPr>
              <w:t>ratio_calibration</w:t>
            </w:r>
            <w:r>
              <w:rPr>
                <w:b w:val="0"/>
                <w:i w:val="0"/>
                <w:sz w:val="19"/>
              </w:rPr>
              <w:t xml:space="preserve"> — the 3SEQ arm and its percentile calibration, run per axis against the genes with a computable ratio on that axis (13,708 normal, 13,247 sarcoma; 14,120 genes present)</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gse28866_tumour_vs_normal.py</w:t>
            </w:r>
          </w:p>
        </w:tc>
      </w:tr>
      <w:tr>
        <w:trPr>
          <w:cantSplit/>
        </w:trPr>
        <w:tc>
          <w:tcPr>
            <w:tcW w:type="dxa" w:w="5975"/>
            <w:tcMar>
              <w:top w:w="80" w:type="dxa"/>
              <w:left w:w="80" w:type="dxa"/>
              <w:bottom w:w="80" w:type="dxa"/>
              <w:right w:w="80" w:type="dxa"/>
            </w:tcMar>
          </w:tcPr>
          <w:p>
            <w:pPr>
              <w:spacing w:after="60" w:line="240" w:lineRule="auto"/>
            </w:pPr>
            <w:r>
              <w:rPr>
                <w:rFonts w:ascii="Consolas" w:hAnsi="Consolas"/>
                <w:b w:val="0"/>
                <w:i w:val="0"/>
                <w:sz w:val="19"/>
              </w:rPr>
              <w:t>nr4a3-fusion-targets-robustness.json</w:t>
            </w:r>
            <w:r>
              <w:rPr>
                <w:b w:val="0"/>
                <w:i w:val="0"/>
                <w:sz w:val="19"/>
              </w:rPr>
              <w:t xml:space="preserve"> — exact label-permutation p-values, leave-one-out jackknife, rank-based re-read and BH q-values</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nr4a3_fusion_targets_robustness.py</w:t>
            </w:r>
          </w:p>
        </w:tc>
      </w:tr>
      <w:tr>
        <w:trPr>
          <w:cantSplit/>
        </w:trPr>
        <w:tc>
          <w:tcPr>
            <w:tcW w:type="dxa" w:w="5975"/>
            <w:tcMar>
              <w:top w:w="80" w:type="dxa"/>
              <w:left w:w="80" w:type="dxa"/>
              <w:bottom w:w="80" w:type="dxa"/>
              <w:right w:w="80" w:type="dxa"/>
            </w:tcMar>
          </w:tcPr>
          <w:p>
            <w:pPr>
              <w:spacing w:after="60" w:line="240" w:lineRule="auto"/>
            </w:pPr>
            <w:r>
              <w:rPr>
                <w:rFonts w:ascii="Consolas" w:hAnsi="Consolas"/>
                <w:b w:val="0"/>
                <w:i w:val="0"/>
                <w:sz w:val="19"/>
              </w:rPr>
              <w:t>nr4a3-fusion-targets-confounds.json</w:t>
            </w:r>
            <w:r>
              <w:rPr>
                <w:b w:val="0"/>
                <w:i w:val="0"/>
                <w:sz w:val="19"/>
              </w:rPr>
              <w:t xml:space="preserve"> — comparator composition, the muscle-admixture control, every stratified and reference-pool-matched contrast with its own exact permutation p, the covariate-adjusted sensitivity analysis, minimum detectable effects, and the within-EMC axis</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nr4a3_fusion_targets_confounds.py</w:t>
            </w:r>
          </w:p>
        </w:tc>
      </w:tr>
      <w:tr>
        <w:trPr>
          <w:cantSplit/>
        </w:trPr>
        <w:tc>
          <w:tcPr>
            <w:tcW w:type="dxa" w:w="5975"/>
            <w:tcMar>
              <w:top w:w="80" w:type="dxa"/>
              <w:left w:w="80" w:type="dxa"/>
              <w:bottom w:w="80" w:type="dxa"/>
              <w:right w:w="80" w:type="dxa"/>
            </w:tcMar>
          </w:tcPr>
          <w:p>
            <w:pPr>
              <w:spacing w:after="60" w:line="240" w:lineRule="auto"/>
            </w:pPr>
            <w:r>
              <w:rPr>
                <w:rFonts w:ascii="Consolas" w:hAnsi="Consolas"/>
                <w:b w:val="0"/>
                <w:i w:val="0"/>
                <w:sz w:val="19"/>
              </w:rPr>
              <w:t>nr4a3-fusion-targets-occupancy.json</w:t>
            </w:r>
            <w:r>
              <w:rPr>
                <w:b w:val="0"/>
                <w:i w:val="0"/>
                <w:sz w:val="19"/>
              </w:rPr>
              <w:t xml:space="preserve"> — NR4A ChIP-seq occupancy at the class-A genes across 110 peak sets, each count calibrated against that build's background panel (198 genes on hg38, 200 on hg19), with the depth rule that marks an undetectable peak set uninformative rather than negative and the antigen rule that scores only NR4A ChIPs</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nr4a3_fusion_targets_occupancy.py</w:t>
            </w:r>
            <w:r>
              <w:rPr>
                <w:b w:val="0"/>
                <w:i w:val="0"/>
                <w:sz w:val="19"/>
              </w:rPr>
              <w:t xml:space="preserve"> (reads the committed </w:t>
            </w:r>
            <w:r>
              <w:rPr>
                <w:rFonts w:ascii="Consolas" w:hAnsi="Consolas"/>
                <w:b w:val="0"/>
                <w:i w:val="0"/>
                <w:sz w:val="19"/>
              </w:rPr>
              <w:t>emc-ret-cistrome.json</w:t>
            </w:r>
            <w:r>
              <w:rPr>
                <w:b w:val="0"/>
                <w:i w:val="0"/>
                <w:sz w:val="19"/>
              </w:rPr>
              <w:t xml:space="preserve"> and its cached peaks; no network)</w:t>
            </w:r>
          </w:p>
        </w:tc>
      </w:tr>
      <w:tr>
        <w:trPr>
          <w:cantSplit/>
        </w:trPr>
        <w:tc>
          <w:tcPr>
            <w:tcW w:type="dxa" w:w="5975"/>
            <w:tcMar>
              <w:top w:w="80" w:type="dxa"/>
              <w:left w:w="80" w:type="dxa"/>
              <w:bottom w:w="80" w:type="dxa"/>
              <w:right w:w="80" w:type="dxa"/>
            </w:tcMar>
          </w:tcPr>
          <w:p>
            <w:pPr>
              <w:spacing w:after="60" w:line="240" w:lineRule="auto"/>
            </w:pPr>
            <w:r>
              <w:rPr>
                <w:rFonts w:ascii="Consolas" w:hAnsi="Consolas"/>
                <w:b w:val="0"/>
                <w:i w:val="0"/>
                <w:sz w:val="19"/>
              </w:rPr>
              <w:t>figures/fig1</w:t>
            </w:r>
            <w:r>
              <w:rPr>
                <w:b w:val="0"/>
                <w:i w:val="0"/>
                <w:sz w:val="19"/>
              </w:rPr>
              <w:t>–</w:t>
            </w:r>
            <w:r>
              <w:rPr>
                <w:rFonts w:ascii="Consolas" w:hAnsi="Consolas"/>
                <w:b w:val="0"/>
                <w:i w:val="0"/>
                <w:sz w:val="19"/>
              </w:rPr>
              <w:t>fig5</w:t>
            </w:r>
            <w:r>
              <w:rPr>
                <w:b w:val="0"/>
                <w:i w:val="0"/>
                <w:sz w:val="19"/>
              </w:rPr>
              <w:t xml:space="preserve"> (PNG + PDF) and </w:t>
            </w:r>
            <w:r>
              <w:rPr>
                <w:rFonts w:ascii="Consolas" w:hAnsi="Consolas"/>
                <w:b w:val="0"/>
                <w:i w:val="0"/>
                <w:sz w:val="19"/>
              </w:rPr>
              <w:t>figures/figure-provenance.json</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nr4a3_fusion_targets_figures.py</w:t>
            </w:r>
          </w:p>
        </w:tc>
      </w:tr>
      <w:tr>
        <w:trPr>
          <w:cantSplit/>
        </w:trPr>
        <w:tc>
          <w:tcPr>
            <w:tcW w:type="dxa" w:w="5975"/>
            <w:tcMar>
              <w:top w:w="80" w:type="dxa"/>
              <w:left w:w="80" w:type="dxa"/>
              <w:bottom w:w="80" w:type="dxa"/>
              <w:right w:w="80" w:type="dxa"/>
            </w:tcMar>
          </w:tcPr>
          <w:p>
            <w:pPr>
              <w:spacing w:after="60" w:line="240" w:lineRule="auto"/>
            </w:pPr>
            <w:r>
              <w:rPr>
                <w:rFonts w:ascii="Consolas" w:hAnsi="Consolas"/>
                <w:b w:val="0"/>
                <w:i w:val="0"/>
                <w:sz w:val="19"/>
              </w:rPr>
              <w:t>emc-ret-target-scan.json</w:t>
            </w:r>
            <w:r>
              <w:rPr>
                <w:b w:val="0"/>
                <w:i w:val="0"/>
                <w:sz w:val="19"/>
              </w:rPr>
              <w:t xml:space="preserve"> → </w:t>
            </w:r>
            <w:r>
              <w:rPr>
                <w:rFonts w:ascii="Consolas" w:hAnsi="Consolas"/>
                <w:b w:val="0"/>
                <w:i w:val="0"/>
                <w:sz w:val="19"/>
              </w:rPr>
              <w:t>part_1_nbre_scan</w:t>
            </w:r>
            <w:r>
              <w:rPr>
                <w:b w:val="0"/>
                <w:i w:val="0"/>
                <w:sz w:val="19"/>
              </w:rPr>
              <w:t xml:space="preserve"> — NBRE/NurRE counts, the dinucleotide-preserving shuffle null and the background-panel ranks. Ensembl sequences are cached, so the scan re-derives offline</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emc_ret_target_scan.py</w:t>
            </w:r>
          </w:p>
        </w:tc>
      </w:tr>
      <w:tr>
        <w:trPr>
          <w:cantSplit/>
        </w:trPr>
        <w:tc>
          <w:tcPr>
            <w:tcW w:type="dxa" w:w="5975"/>
            <w:tcMar>
              <w:top w:w="80" w:type="dxa"/>
              <w:left w:w="80" w:type="dxa"/>
              <w:bottom w:w="80" w:type="dxa"/>
              <w:right w:w="80" w:type="dxa"/>
            </w:tcMar>
          </w:tcPr>
          <w:p>
            <w:pPr>
              <w:spacing w:after="60" w:line="240" w:lineRule="auto"/>
            </w:pPr>
            <w:r>
              <w:rPr>
                <w:b w:val="0"/>
                <w:i w:val="0"/>
                <w:sz w:val="19"/>
              </w:rPr>
              <w:t>offline arithmetic guards</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tests/test_nr4a3_fusion_targets.py</w:t>
            </w:r>
            <w:r>
              <w:rPr>
                <w:b w:val="0"/>
                <w:i w:val="0"/>
                <w:sz w:val="19"/>
              </w:rPr>
              <w:t xml:space="preserve">, </w:t>
            </w:r>
            <w:r>
              <w:rPr>
                <w:rFonts w:ascii="Consolas" w:hAnsi="Consolas"/>
                <w:b w:val="0"/>
                <w:i w:val="0"/>
                <w:sz w:val="19"/>
              </w:rPr>
              <w:t>tests/test_nr4a3_fusion_targets_confounds.py</w:t>
            </w:r>
            <w:r>
              <w:rPr>
                <w:b w:val="0"/>
                <w:i w:val="0"/>
                <w:sz w:val="19"/>
              </w:rPr>
              <w:t xml:space="preserve">, </w:t>
            </w:r>
            <w:r>
              <w:rPr>
                <w:rFonts w:ascii="Consolas" w:hAnsi="Consolas"/>
                <w:b w:val="0"/>
                <w:i w:val="0"/>
                <w:sz w:val="19"/>
              </w:rPr>
              <w:t>tests/test_nr4a3_fusion_targets_figures.py</w:t>
            </w:r>
          </w:p>
        </w:tc>
      </w:tr>
    </w:tbl>
    <w:p>
      <w:pPr>
        <w:pStyle w:val="Heading1"/>
      </w:pPr>
      <w:r>
        <w:rPr>
          <w:b w:val="0"/>
          <w:i w:val="0"/>
        </w:rPr>
        <w:t>Appendix A · Superseded values and corrected claims</w:t>
      </w:r>
    </w:p>
    <w:p>
      <w:r>
        <w:rPr>
          <w:b w:val="0"/>
          <w:i w:val="0"/>
        </w:rPr>
        <w:t>Retained so that a superseded number stays quotable as history and not as a current fact.</w:t>
      </w:r>
    </w:p>
    <w:p>
      <w:pPr>
        <w:keepNext/>
      </w:pPr>
      <w:r>
        <w:rPr>
          <w:b/>
          <w:i w:val="0"/>
        </w:rPr>
        <w:t>Historical record 1</w:t>
      </w:r>
    </w:p>
    <w:p>
      <w:pPr>
        <w:keepNext/>
      </w:pPr>
      <w:r>
        <w:rPr>
          <w:b/>
          <w:i w:val="0"/>
        </w:rPr>
        <w:t>claim, as previously written:</w:t>
      </w:r>
      <w:r>
        <w:rPr>
          <w:b w:val="0"/>
          <w:i w:val="0"/>
        </w:rPr>
        <w:t xml:space="preserve"> "That pattern is the shape of a platform-wide offset."</w:t>
      </w:r>
    </w:p>
    <w:p>
      <w:pPr>
        <w:keepNext/>
      </w:pPr>
      <w:r>
        <w:rPr>
          <w:b/>
          <w:i w:val="0"/>
        </w:rPr>
        <w:t>status:</w:t>
      </w:r>
      <w:r>
        <w:rPr>
          <w:b w:val="0"/>
          <w:i w:val="0"/>
        </w:rPr>
        <w:t xml:space="preserve"> </w:t>
      </w:r>
      <w:r>
        <w:rPr>
          <w:b/>
          <w:i w:val="0"/>
        </w:rPr>
        <w:t>superseded 2026-08-07</w:t>
      </w:r>
    </w:p>
    <w:p>
      <w:r>
        <w:rPr>
          <w:b/>
          <w:i w:val="0"/>
        </w:rPr>
        <w:t>what replaced it:</w:t>
      </w:r>
      <w:r>
        <w:rPr>
          <w:b w:val="0"/>
          <w:i w:val="0"/>
        </w:rPr>
        <w:t xml:space="preserve"> The global offset is −0.0084 SD (GPL6244) and +0.0258 SD (GPL3290), an order of magnitude below the effects in question. The remedy is unchanged — the null absorbs both — but the mechanism is null-band </w:t>
      </w:r>
      <w:r>
        <w:rPr>
          <w:b w:val="0"/>
          <w:i/>
        </w:rPr>
        <w:t>width</w:t>
      </w:r>
      <w:r>
        <w:rPr>
          <w:b w:val="0"/>
          <w:i w:val="0"/>
        </w:rPr>
        <w:t xml:space="preserve"> at these arm sizes, not offset (§3.4).</w:t>
      </w:r>
    </w:p>
    <w:p>
      <w:pPr>
        <w:keepNext/>
      </w:pPr>
      <w:r>
        <w:rPr>
          <w:b/>
          <w:i w:val="0"/>
        </w:rPr>
        <w:t>Historical record 2</w:t>
      </w:r>
    </w:p>
    <w:p>
      <w:pPr>
        <w:keepNext/>
      </w:pPr>
      <w:r>
        <w:rPr>
          <w:b/>
          <w:i w:val="0"/>
        </w:rPr>
        <w:t>claim, as previously written:</w:t>
      </w:r>
      <w:r>
        <w:rPr>
          <w:b w:val="0"/>
          <w:i w:val="0"/>
        </w:rPr>
        <w:t xml:space="preserve"> GSE24369's comparator arm described as containing "6 fibrosarcoma", and the comparators as "dense".</w:t>
      </w:r>
    </w:p>
    <w:p>
      <w:pPr>
        <w:keepNext/>
      </w:pPr>
      <w:r>
        <w:rPr>
          <w:b/>
          <w:i w:val="0"/>
        </w:rPr>
        <w:t>status:</w:t>
      </w:r>
      <w:r>
        <w:rPr>
          <w:b w:val="0"/>
          <w:i w:val="0"/>
        </w:rPr>
        <w:t xml:space="preserve"> </w:t>
      </w:r>
      <w:r>
        <w:rPr>
          <w:b/>
          <w:i w:val="0"/>
        </w:rPr>
        <w:t>corrected 2026-08-08</w:t>
      </w:r>
    </w:p>
    <w:p>
      <w:r>
        <w:rPr>
          <w:b/>
          <w:i w:val="0"/>
        </w:rPr>
        <w:t>what replaced it:</w:t>
      </w:r>
      <w:r>
        <w:rPr>
          <w:b w:val="0"/>
          <w:i w:val="0"/>
        </w:rPr>
        <w:t xml:space="preserve"> The GEO titles are </w:t>
      </w:r>
      <w:r>
        <w:rPr>
          <w:rFonts w:ascii="Consolas" w:hAnsi="Consolas"/>
          <w:b w:val="0"/>
          <w:i w:val="0"/>
          <w:sz w:val="18"/>
        </w:rPr>
        <w:t>Myxofibrosarcoma 1–6</w:t>
      </w:r>
      <w:r>
        <w:rPr>
          <w:b w:val="0"/>
          <w:i w:val="0"/>
        </w:rPr>
        <w:t>; 23 of 29 comparators are myxoid (§2.2). The earlier wording carried an internal grouping label into a dataset description and inverted the premise of confound (b).</w:t>
      </w:r>
    </w:p>
    <w:p>
      <w:pPr>
        <w:keepNext/>
      </w:pPr>
      <w:r>
        <w:rPr>
          <w:b/>
          <w:i w:val="0"/>
        </w:rPr>
        <w:t>Historical record 3</w:t>
      </w:r>
    </w:p>
    <w:p>
      <w:pPr>
        <w:keepNext/>
      </w:pPr>
      <w:r>
        <w:rPr>
          <w:b/>
          <w:i w:val="0"/>
        </w:rPr>
        <w:t>claim, as previously written:</w:t>
      </w:r>
      <w:r>
        <w:rPr>
          <w:b w:val="0"/>
          <w:i w:val="0"/>
        </w:rPr>
        <w:t xml:space="preserve"> "</w:t>
      </w:r>
      <w:r>
        <w:rPr>
          <w:b w:val="0"/>
          <w:i/>
        </w:rPr>
        <w:t>PPARG</w:t>
      </w:r>
      <w:r>
        <w:rPr>
          <w:b w:val="0"/>
          <w:i w:val="0"/>
        </w:rPr>
        <w:t xml:space="preserve"> … significant on one platform" reported as independent support.</w:t>
      </w:r>
    </w:p>
    <w:p>
      <w:pPr>
        <w:keepNext/>
      </w:pPr>
      <w:r>
        <w:rPr>
          <w:b/>
          <w:i w:val="0"/>
        </w:rPr>
        <w:t>status:</w:t>
      </w:r>
      <w:r>
        <w:rPr>
          <w:b w:val="0"/>
          <w:i w:val="0"/>
        </w:rPr>
        <w:t xml:space="preserve"> </w:t>
      </w:r>
      <w:r>
        <w:rPr>
          <w:b/>
          <w:i w:val="0"/>
        </w:rPr>
        <w:t>corrected 2026-08-08</w:t>
      </w:r>
    </w:p>
    <w:p>
      <w:r>
        <w:rPr>
          <w:b/>
          <w:i w:val="0"/>
        </w:rPr>
        <w:t>what replaced it:</w:t>
      </w:r>
      <w:r>
        <w:rPr>
          <w:b w:val="0"/>
          <w:i w:val="0"/>
        </w:rPr>
        <w:t xml:space="preserve"> </w:t>
      </w:r>
      <w:r>
        <w:rPr>
          <w:b w:val="0"/>
          <w:i/>
        </w:rPr>
        <w:t>PPARG</w:t>
      </w:r>
      <w:r>
        <w:rPr>
          <w:b w:val="0"/>
          <w:i w:val="0"/>
        </w:rPr>
        <w:t xml:space="preserve"> on GPL3290 is </w:t>
      </w:r>
      <w:r>
        <w:rPr>
          <w:b/>
          <w:i w:val="0"/>
        </w:rPr>
        <w:t>circular</w:t>
      </w:r>
      <w:r>
        <w:rPr>
          <w:b w:val="0"/>
          <w:i w:val="0"/>
        </w:rPr>
        <w:t xml:space="preserve">: GSE4303 is the cohort from which high </w:t>
      </w:r>
      <w:r>
        <w:rPr>
          <w:b w:val="0"/>
          <w:i/>
        </w:rPr>
        <w:t>PPARG</w:t>
      </w:r>
      <w:r>
        <w:rPr>
          <w:b w:val="0"/>
          <w:i w:val="0"/>
        </w:rPr>
        <w:t xml:space="preserve"> in EMC was published (§3.8).</w:t>
      </w:r>
    </w:p>
    <w:p>
      <w:pPr>
        <w:keepNext/>
      </w:pPr>
      <w:r>
        <w:rPr>
          <w:b/>
          <w:i w:val="0"/>
        </w:rPr>
        <w:t>Historical record 4</w:t>
      </w:r>
    </w:p>
    <w:p>
      <w:pPr>
        <w:keepNext/>
      </w:pPr>
      <w:r>
        <w:rPr>
          <w:b/>
          <w:i w:val="0"/>
        </w:rPr>
        <w:t>claim, as previously written:</w:t>
      </w:r>
      <w:r>
        <w:rPr>
          <w:b w:val="0"/>
          <w:i w:val="0"/>
        </w:rPr>
        <w:t xml:space="preserve"> Every </w:t>
      </w:r>
      <w:r>
        <w:rPr>
          <w:rFonts w:ascii="Consolas" w:hAnsi="Consolas"/>
          <w:b w:val="0"/>
          <w:i w:val="0"/>
          <w:sz w:val="18"/>
        </w:rPr>
        <w:t>p_emp = 0.0005</w:t>
      </w:r>
      <w:r>
        <w:rPr>
          <w:b w:val="0"/>
          <w:i w:val="0"/>
        </w:rPr>
        <w:t xml:space="preserve"> written as an equality.</w:t>
      </w:r>
    </w:p>
    <w:p>
      <w:pPr>
        <w:keepNext/>
      </w:pPr>
      <w:r>
        <w:rPr>
          <w:b/>
          <w:i w:val="0"/>
        </w:rPr>
        <w:t>status:</w:t>
      </w:r>
      <w:r>
        <w:rPr>
          <w:b w:val="0"/>
          <w:i w:val="0"/>
        </w:rPr>
        <w:t xml:space="preserve"> </w:t>
      </w:r>
      <w:r>
        <w:rPr>
          <w:b/>
          <w:i w:val="0"/>
        </w:rPr>
        <w:t>corrected 2026-08-08</w:t>
      </w:r>
    </w:p>
    <w:p>
      <w:r>
        <w:rPr>
          <w:b/>
          <w:i w:val="0"/>
        </w:rPr>
        <w:t>what replaced it:</w:t>
      </w:r>
      <w:r>
        <w:rPr>
          <w:b w:val="0"/>
          <w:i w:val="0"/>
        </w:rPr>
        <w:t xml:space="preserve"> 0.0005 is the resolution floor of a 4,000-draw two-sided null (2/4001) and is written </w:t>
      </w:r>
      <w:r>
        <w:rPr>
          <w:rFonts w:ascii="Consolas" w:hAnsi="Consolas"/>
          <w:b w:val="0"/>
          <w:i w:val="0"/>
          <w:sz w:val="18"/>
        </w:rPr>
        <w:t>≤ 0.0005</w:t>
      </w:r>
      <w:r>
        <w:rPr>
          <w:b w:val="0"/>
          <w:i w:val="0"/>
        </w:rPr>
        <w:t xml:space="preserve"> (§2.3).</w:t>
      </w:r>
    </w:p>
    <w:p>
      <w:pPr>
        <w:keepNext/>
      </w:pPr>
      <w:r>
        <w:rPr>
          <w:b/>
          <w:i w:val="0"/>
        </w:rPr>
        <w:t>Historical record 5</w:t>
      </w:r>
    </w:p>
    <w:p>
      <w:pPr>
        <w:keepNext/>
      </w:pPr>
      <w:r>
        <w:rPr>
          <w:b/>
          <w:i w:val="0"/>
        </w:rPr>
        <w:t>claim, as previously written:</w:t>
      </w:r>
      <w:r>
        <w:rPr>
          <w:b w:val="0"/>
          <w:i w:val="0"/>
        </w:rPr>
        <w:t xml:space="preserve"> "Four of four graded controls agree", with </w:t>
      </w:r>
      <w:r>
        <w:rPr>
          <w:b w:val="0"/>
          <w:i/>
        </w:rPr>
        <w:t>PLAGL1</w:t>
      </w:r>
      <w:r>
        <w:rPr>
          <w:b w:val="0"/>
          <w:i w:val="0"/>
        </w:rPr>
        <w:t>/GPL6244 marked "not graded".</w:t>
      </w:r>
    </w:p>
    <w:p>
      <w:pPr>
        <w:keepNext/>
      </w:pPr>
      <w:r>
        <w:rPr>
          <w:b/>
          <w:i w:val="0"/>
        </w:rPr>
        <w:t>status:</w:t>
      </w:r>
      <w:r>
        <w:rPr>
          <w:b w:val="0"/>
          <w:i w:val="0"/>
        </w:rPr>
        <w:t xml:space="preserve"> </w:t>
      </w:r>
      <w:r>
        <w:rPr>
          <w:b/>
          <w:i w:val="0"/>
        </w:rPr>
        <w:t>corrected 2026-08-08; census corrected 2026-09-08</w:t>
      </w:r>
    </w:p>
    <w:p>
      <w:r>
        <w:rPr>
          <w:b/>
          <w:i w:val="0"/>
        </w:rPr>
        <w:t>what replaced it:</w:t>
      </w:r>
      <w:r>
        <w:rPr>
          <w:b w:val="0"/>
          <w:i w:val="0"/>
        </w:rPr>
        <w:t xml:space="preserve"> Five of six control × platform cells are computable and all five agree; </w:t>
      </w:r>
      <w:r>
        <w:rPr>
          <w:b w:val="0"/>
          <w:i/>
        </w:rPr>
        <w:t>PLAGL1</w:t>
      </w:r>
      <w:r>
        <w:rPr>
          <w:b w:val="0"/>
          <w:i w:val="0"/>
        </w:rPr>
        <w:t xml:space="preserve">/GPL6244 is </w:t>
      </w:r>
      <w:r>
        <w:rPr>
          <w:b w:val="0"/>
          <w:i/>
        </w:rPr>
        <w:t>inside its null band</w:t>
      </w:r>
      <w:r>
        <w:rPr>
          <w:b w:val="0"/>
          <w:i w:val="0"/>
        </w:rPr>
        <w:t xml:space="preserve"> and is not a reading at this power. The three-state grading rule is now stated in §2.4. </w:t>
      </w:r>
      <w:r>
        <w:rPr>
          <w:b/>
          <w:i w:val="0"/>
        </w:rPr>
        <w:t>Corrected 2026-09-08:</w:t>
      </w:r>
      <w:r>
        <w:rPr>
          <w:b w:val="0"/>
          <w:i w:val="0"/>
        </w:rPr>
        <w:t xml:space="preserve"> the cell census in that 2026-08-08 replacement was itself wrong and is superseded, not deleted. </w:t>
      </w:r>
      <w:r>
        <w:rPr>
          <w:b/>
          <w:i w:val="0"/>
        </w:rPr>
        <w:t>Seven</w:t>
      </w:r>
      <w:r>
        <w:rPr>
          <w:b w:val="0"/>
          <w:i w:val="0"/>
        </w:rPr>
        <w:t xml:space="preserve"> of the eight control × platform cells carry a computable contrast, </w:t>
      </w:r>
      <w:r>
        <w:rPr>
          <w:b/>
          <w:i w:val="0"/>
        </w:rPr>
        <w:t>six</w:t>
      </w:r>
      <w:r>
        <w:rPr>
          <w:b w:val="0"/>
          <w:i w:val="0"/>
        </w:rPr>
        <w:t xml:space="preserve"> of those are gradeable and all six agree; the eighth (</w:t>
      </w:r>
      <w:r>
        <w:rPr>
          <w:b w:val="0"/>
          <w:i/>
        </w:rPr>
        <w:t>NR4A3</w:t>
      </w:r>
      <w:r>
        <w:rPr>
          <w:b w:val="0"/>
          <w:i w:val="0"/>
        </w:rPr>
        <w:t xml:space="preserve"> on GPL3290) is not measurable. §3.3 and Supplementary Table S11 state the 7/6 census; this row had not been brought into line with them.</w:t>
      </w:r>
    </w:p>
    <w:p>
      <w:pPr>
        <w:keepNext/>
      </w:pPr>
      <w:r>
        <w:rPr>
          <w:b/>
          <w:i w:val="0"/>
        </w:rPr>
        <w:t>Historical record 6</w:t>
      </w:r>
    </w:p>
    <w:p>
      <w:pPr>
        <w:keepNext/>
      </w:pPr>
      <w:r>
        <w:rPr>
          <w:b/>
          <w:i w:val="0"/>
        </w:rPr>
        <w:t>claim, as previously written:</w:t>
      </w:r>
      <w:r>
        <w:rPr>
          <w:b w:val="0"/>
          <w:i w:val="0"/>
        </w:rPr>
        <w:t xml:space="preserve"> "Deep NR4A1 sets (ReMap2022) do recover both </w:t>
      </w:r>
      <w:r>
        <w:rPr>
          <w:b w:val="0"/>
          <w:i/>
        </w:rPr>
        <w:t>SEMA3C</w:t>
      </w:r>
      <w:r>
        <w:rPr>
          <w:b w:val="0"/>
          <w:i w:val="0"/>
        </w:rPr>
        <w:t xml:space="preserve"> and </w:t>
      </w:r>
      <w:r>
        <w:rPr>
          <w:b w:val="0"/>
          <w:i/>
        </w:rPr>
        <w:t>ENO3</w:t>
      </w:r>
      <w:r>
        <w:rPr>
          <w:b w:val="0"/>
          <w:i w:val="0"/>
        </w:rPr>
        <w:t>" — offered in §3.11 as a near-miss worth noting.</w:t>
      </w:r>
    </w:p>
    <w:p>
      <w:pPr>
        <w:keepNext/>
      </w:pPr>
      <w:r>
        <w:rPr>
          <w:b/>
          <w:i w:val="0"/>
        </w:rPr>
        <w:t>status:</w:t>
      </w:r>
      <w:r>
        <w:rPr>
          <w:b w:val="0"/>
          <w:i w:val="0"/>
        </w:rPr>
        <w:t xml:space="preserve"> </w:t>
      </w:r>
      <w:r>
        <w:rPr>
          <w:b/>
          <w:i w:val="0"/>
        </w:rPr>
        <w:t>corrected 2026-08-08</w:t>
      </w:r>
    </w:p>
    <w:p>
      <w:r>
        <w:rPr>
          <w:b/>
          <w:i w:val="0"/>
        </w:rPr>
        <w:t>what replaced it:</w:t>
      </w:r>
      <w:r>
        <w:rPr>
          <w:b w:val="0"/>
          <w:i w:val="0"/>
        </w:rPr>
        <w:t xml:space="preserve"> True and uninformative: 82.8% of a 198-gene background panel is also recovered by that catalogue. Calibrated, no class-A gene exceeds the panel in any NR4A peak set (§3.11, Supplementary Table S14). The uncalibrated version was the same error §1.1 exists to refuse, inside the section that reports the paper's central negative.</w:t>
      </w:r>
    </w:p>
    <w:p>
      <w:pPr>
        <w:keepNext/>
      </w:pPr>
      <w:r>
        <w:rPr>
          <w:b/>
          <w:i w:val="0"/>
        </w:rPr>
        <w:t>Historical record 7</w:t>
      </w:r>
    </w:p>
    <w:p>
      <w:pPr>
        <w:keepNext/>
      </w:pPr>
      <w:r>
        <w:rPr>
          <w:b/>
          <w:i w:val="0"/>
        </w:rPr>
        <w:t>claim, as previously written:</w:t>
      </w:r>
      <w:r>
        <w:rPr>
          <w:b w:val="0"/>
          <w:i w:val="0"/>
        </w:rPr>
        <w:t xml:space="preserve"> A background citation attributing the cloning of the EMC fusion to a 1995 paper.</w:t>
      </w:r>
    </w:p>
    <w:p>
      <w:pPr>
        <w:keepNext/>
      </w:pPr>
      <w:r>
        <w:rPr>
          <w:b/>
          <w:i w:val="0"/>
        </w:rPr>
        <w:t>status:</w:t>
      </w:r>
      <w:r>
        <w:rPr>
          <w:b w:val="0"/>
          <w:i w:val="0"/>
        </w:rPr>
        <w:t xml:space="preserve"> </w:t>
      </w:r>
      <w:r>
        <w:rPr>
          <w:b/>
          <w:i w:val="0"/>
        </w:rPr>
        <w:t>withdrawn, then re-anchored 2026-08-08</w:t>
      </w:r>
    </w:p>
    <w:p>
      <w:r>
        <w:rPr>
          <w:b/>
          <w:i w:val="0"/>
        </w:rPr>
        <w:t>what replaced it:</w:t>
      </w:r>
      <w:r>
        <w:rPr>
          <w:b w:val="0"/>
          <w:i w:val="0"/>
        </w:rPr>
        <w:t xml:space="preserve"> The original PMID traced to no held source and was written from recollection, and the statement was re-anchored on the GEO series record and Brenca </w:t>
      </w:r>
      <w:r>
        <w:rPr>
          <w:b w:val="0"/>
          <w:i/>
        </w:rPr>
        <w:t>et al.</w:t>
      </w:r>
      <w:r>
        <w:rPr>
          <w:b w:val="0"/>
          <w:i w:val="0"/>
        </w:rPr>
        <w:t xml:space="preserve"> ⚠ That left §1.3's "the hypothesis is thirty years old" resting on a date with no source in the record — a dated claim escapes an identifier checker because a bare year carries no identifier. The cloning paper is now retrieved rather than recalled (PMID 8634690, 1995, reference 9a).</w:t>
      </w:r>
    </w:p>
    <w:p>
      <w:pPr>
        <w:keepNext/>
      </w:pPr>
      <w:r>
        <w:rPr>
          <w:b/>
          <w:i w:val="0"/>
        </w:rPr>
        <w:t>Historical record 8</w:t>
      </w:r>
    </w:p>
    <w:p>
      <w:pPr>
        <w:keepNext/>
      </w:pPr>
      <w:r>
        <w:rPr>
          <w:b/>
          <w:i w:val="0"/>
        </w:rPr>
        <w:t>claim, as previously written:</w:t>
      </w:r>
      <w:r>
        <w:rPr>
          <w:b w:val="0"/>
          <w:i w:val="0"/>
        </w:rPr>
        <w:t xml:space="preserve"> The title "The direct-target catalogue of EWSR1::NR4A3 is three genes wide, and one gene survives calibration", and a §1 that reached the calibration third.</w:t>
      </w:r>
    </w:p>
    <w:p>
      <w:pPr>
        <w:keepNext/>
      </w:pPr>
      <w:r>
        <w:rPr>
          <w:b/>
          <w:i w:val="0"/>
        </w:rPr>
        <w:t>status:</w:t>
      </w:r>
      <w:r>
        <w:rPr>
          <w:b w:val="0"/>
          <w:i w:val="0"/>
        </w:rPr>
        <w:t xml:space="preserve"> </w:t>
      </w:r>
      <w:r>
        <w:rPr>
          <w:b/>
          <w:i w:val="0"/>
        </w:rPr>
        <w:t>superseded 2026-08-08</w:t>
      </w:r>
    </w:p>
    <w:p>
      <w:r>
        <w:rPr>
          <w:b/>
          <w:i w:val="0"/>
        </w:rPr>
        <w:t>what replaced it:</w:t>
      </w:r>
      <w:r>
        <w:rPr>
          <w:b w:val="0"/>
          <w:i w:val="0"/>
        </w:rPr>
        <w:t xml:space="preserve"> The paper led with its weakest result. </w:t>
      </w:r>
      <w:r>
        <w:rPr>
          <w:b w:val="0"/>
          <w:i/>
        </w:rPr>
        <w:t>ENO3</w:t>
      </w:r>
      <w:r>
        <w:rPr>
          <w:b w:val="0"/>
          <w:i w:val="0"/>
        </w:rPr>
        <w:t xml:space="preserve"> is the pre-designated positive control (Limitation 17), the ordering rests on cohorts of 4, 6 and 10, and no gene here is separable from disease association at all — while the size-matched null is general, reusable beyond this disease, and unaffected by any of that. Retitled around the calibration; §1 now opens on the failure mode, the gene ordering is stated as the worked example in §4.2 and §6, and no number in §3 changed.</w:t>
      </w:r>
    </w:p>
    <w:p>
      <w:pPr>
        <w:keepNext/>
      </w:pPr>
      <w:r>
        <w:rPr>
          <w:b/>
          <w:i w:val="0"/>
        </w:rPr>
        <w:t>Historical record 9</w:t>
      </w:r>
    </w:p>
    <w:p>
      <w:pPr>
        <w:keepNext/>
      </w:pPr>
      <w:r>
        <w:rPr>
          <w:b/>
          <w:i w:val="0"/>
        </w:rPr>
        <w:t>claim, as previously written:</w:t>
      </w:r>
      <w:r>
        <w:rPr>
          <w:b w:val="0"/>
          <w:i w:val="0"/>
        </w:rPr>
        <w:t xml:space="preserve"> "Two questions are </w:t>
      </w:r>
      <w:r>
        <w:rPr>
          <w:b/>
          <w:i w:val="0"/>
        </w:rPr>
        <w:t>routinely conflated</w:t>
      </w:r>
      <w:r>
        <w:rPr>
          <w:b w:val="0"/>
          <w:i w:val="0"/>
        </w:rPr>
        <w:t xml:space="preserve">" (§1.3) and "the field's prose </w:t>
      </w:r>
      <w:r>
        <w:rPr>
          <w:b/>
          <w:i w:val="0"/>
        </w:rPr>
        <w:t>does not usually say</w:t>
      </w:r>
      <w:r>
        <w:rPr>
          <w:b w:val="0"/>
          <w:i w:val="0"/>
        </w:rPr>
        <w:t xml:space="preserve"> so" (§4.2).</w:t>
      </w:r>
    </w:p>
    <w:p>
      <w:pPr>
        <w:keepNext/>
      </w:pPr>
      <w:r>
        <w:rPr>
          <w:b/>
          <w:i w:val="0"/>
        </w:rPr>
        <w:t>status:</w:t>
      </w:r>
      <w:r>
        <w:rPr>
          <w:b w:val="0"/>
          <w:i w:val="0"/>
        </w:rPr>
        <w:t xml:space="preserve"> </w:t>
      </w:r>
      <w:r>
        <w:rPr>
          <w:b/>
          <w:i w:val="0"/>
        </w:rPr>
        <w:t>superseded 2026-08-08</w:t>
      </w:r>
    </w:p>
    <w:p>
      <w:r>
        <w:rPr>
          <w:b/>
          <w:i w:val="0"/>
        </w:rPr>
        <w:t>what replaced it:</w:t>
      </w:r>
      <w:r>
        <w:rPr>
          <w:b w:val="0"/>
          <w:i w:val="0"/>
        </w:rPr>
        <w:t xml:space="preserve"> Both asserted what a literature does, and neither had been measured. Measured: the three class-A genes are named in 3, 1 and 0 of 261 EMC review records. A literature that seldom names these genes cannot routinely conflate claims about them; the true state is a near-absence of any account, not a mistaken one, and §1.3 and §4.2 now say that instead. The scientific results are untouched — nothing in §3 ever depended on what the field believed.</w:t>
      </w:r>
    </w:p>
    <w:p>
      <w:pPr>
        <w:keepNext/>
      </w:pPr>
      <w:r>
        <w:rPr>
          <w:b/>
          <w:i w:val="0"/>
        </w:rPr>
        <w:t>Historical record 10</w:t>
      </w:r>
    </w:p>
    <w:p>
      <w:pPr>
        <w:keepNext/>
      </w:pPr>
      <w:r>
        <w:rPr>
          <w:b/>
          <w:i w:val="0"/>
        </w:rPr>
        <w:t>claim, as previously written:</w:t>
      </w:r>
      <w:r>
        <w:rPr>
          <w:b w:val="0"/>
          <w:i w:val="0"/>
        </w:rPr>
        <w:t xml:space="preserve"> "…never assembled and tested against a proper calibration" (cover letter).</w:t>
      </w:r>
    </w:p>
    <w:p>
      <w:pPr>
        <w:keepNext/>
      </w:pPr>
      <w:r>
        <w:rPr>
          <w:b/>
          <w:i w:val="0"/>
        </w:rPr>
        <w:t>status:</w:t>
      </w:r>
      <w:r>
        <w:rPr>
          <w:b w:val="0"/>
          <w:i w:val="0"/>
        </w:rPr>
        <w:t xml:space="preserve"> </w:t>
      </w:r>
      <w:r>
        <w:rPr>
          <w:b/>
          <w:i w:val="0"/>
        </w:rPr>
        <w:t>corrected 2026-08-08</w:t>
      </w:r>
    </w:p>
    <w:p>
      <w:r>
        <w:rPr>
          <w:b/>
          <w:i w:val="0"/>
        </w:rPr>
        <w:t>what replaced it:</w:t>
      </w:r>
      <w:r>
        <w:rPr>
          <w:b w:val="0"/>
          <w:i w:val="0"/>
        </w:rPr>
        <w:t xml:space="preserve"> An unrestricted negative about all prior literature, resting on nothing. Narrowed to what was actually done — a search, reported as a search — and the novelty claim now rests on the measured near-absence rather than on an assertion that no prior assembly exists.</w:t>
      </w:r>
    </w:p>
    <w:p>
      <w:pPr>
        <w:keepNext/>
      </w:pPr>
      <w:r>
        <w:rPr>
          <w:b/>
          <w:i w:val="0"/>
        </w:rPr>
        <w:t>Historical record 11</w:t>
      </w:r>
    </w:p>
    <w:p>
      <w:pPr>
        <w:keepNext/>
      </w:pPr>
      <w:r>
        <w:rPr>
          <w:b/>
          <w:i w:val="0"/>
        </w:rPr>
        <w:t>claim, as previously written:</w:t>
      </w:r>
      <w:r>
        <w:rPr>
          <w:b w:val="0"/>
          <w:i w:val="0"/>
        </w:rPr>
        <w:t xml:space="preserve"> "All twelve NR4A3-specific peak sets are too shallow to recover any gene at all", and the occupancy axis reported across </w:t>
      </w:r>
      <w:r>
        <w:rPr>
          <w:b/>
          <w:i w:val="0"/>
        </w:rPr>
        <w:t>86</w:t>
      </w:r>
      <w:r>
        <w:rPr>
          <w:b w:val="0"/>
          <w:i w:val="0"/>
        </w:rPr>
        <w:t xml:space="preserve"> peak sets, </w:t>
      </w:r>
      <w:r>
        <w:rPr>
          <w:b/>
          <w:i w:val="0"/>
        </w:rPr>
        <w:t>8</w:t>
      </w:r>
      <w:r>
        <w:rPr>
          <w:b w:val="0"/>
          <w:i w:val="0"/>
        </w:rPr>
        <w:t xml:space="preserve"> informative experiments and </w:t>
      </w:r>
      <w:r>
        <w:rPr>
          <w:b/>
          <w:i w:val="0"/>
        </w:rPr>
        <w:t>24</w:t>
      </w:r>
      <w:r>
        <w:rPr>
          <w:b w:val="0"/>
          <w:i w:val="0"/>
        </w:rPr>
        <w:t xml:space="preserve"> tests.</w:t>
      </w:r>
    </w:p>
    <w:p>
      <w:pPr>
        <w:keepNext/>
      </w:pPr>
      <w:r>
        <w:rPr>
          <w:b/>
          <w:i w:val="0"/>
        </w:rPr>
        <w:t>status:</w:t>
      </w:r>
      <w:r>
        <w:rPr>
          <w:b w:val="0"/>
          <w:i w:val="0"/>
        </w:rPr>
        <w:t xml:space="preserve"> </w:t>
      </w:r>
      <w:r>
        <w:rPr>
          <w:b/>
          <w:i w:val="0"/>
        </w:rPr>
        <w:t>superseded 2026-08-08</w:t>
      </w:r>
    </w:p>
    <w:p>
      <w:r>
        <w:rPr>
          <w:b/>
          <w:i w:val="0"/>
        </w:rPr>
        <w:t>what replaced it:</w:t>
      </w:r>
      <w:r>
        <w:rPr>
          <w:b w:val="0"/>
          <w:i w:val="0"/>
        </w:rPr>
        <w:t xml:space="preserve"> True of the twelve ChIP-Atlas sets and still stated of them, but no longer true of the axis: the Haller </w:t>
      </w:r>
      <w:r>
        <w:rPr>
          <w:b w:val="0"/>
          <w:i/>
        </w:rPr>
        <w:t>et al.</w:t>
      </w:r>
      <w:r>
        <w:rPr>
          <w:b w:val="0"/>
          <w:i w:val="0"/>
        </w:rPr>
        <w:t xml:space="preserve"> acinic cell carcinoma deposit adds four NR4A3 cistromes at 8,501–18,666 peaks, 55–121× the deepest previously available. The axis is now 110 peak sets, 12 informative experiments and 36 tests (§3.11, Supplementary Table S14). The conclusion is unchanged and better supported — 2 hits against 1.8 expected, binomial p 0.54 — and </w:t>
      </w:r>
      <w:r>
        <w:rPr>
          <w:b w:val="0"/>
          <w:i/>
        </w:rPr>
        <w:t>PPARG</w:t>
      </w:r>
      <w:r>
        <w:rPr>
          <w:b w:val="0"/>
          <w:i w:val="0"/>
        </w:rPr>
        <w:t>'s zero is now a negative rather than an absent reading.</w:t>
      </w:r>
    </w:p>
    <w:p>
      <w:pPr>
        <w:keepNext/>
      </w:pPr>
      <w:r>
        <w:rPr>
          <w:b/>
          <w:i w:val="0"/>
        </w:rPr>
        <w:t>Historical record 12</w:t>
      </w:r>
    </w:p>
    <w:p>
      <w:pPr>
        <w:keepNext/>
      </w:pPr>
      <w:r>
        <w:rPr>
          <w:b/>
          <w:i w:val="0"/>
        </w:rPr>
        <w:t>claim, as previously written:</w:t>
      </w:r>
      <w:r>
        <w:rPr>
          <w:b w:val="0"/>
          <w:i w:val="0"/>
        </w:rPr>
        <w:t xml:space="preserve"> The occupancy verdict decided by comparing the observed hit count with its expected value.</w:t>
      </w:r>
    </w:p>
    <w:p>
      <w:pPr>
        <w:keepNext/>
      </w:pPr>
      <w:r>
        <w:rPr>
          <w:b/>
          <w:i w:val="0"/>
        </w:rPr>
        <w:t>status:</w:t>
      </w:r>
      <w:r>
        <w:rPr>
          <w:b w:val="0"/>
          <w:i w:val="0"/>
        </w:rPr>
        <w:t xml:space="preserve"> </w:t>
      </w:r>
      <w:r>
        <w:rPr>
          <w:b/>
          <w:i w:val="0"/>
        </w:rPr>
        <w:t>corrected 2026-08-08</w:t>
      </w:r>
    </w:p>
    <w:p>
      <w:r>
        <w:rPr>
          <w:b/>
          <w:i w:val="0"/>
        </w:rPr>
        <w:t>what replaced it:</w:t>
      </w:r>
      <w:r>
        <w:rPr>
          <w:b w:val="0"/>
          <w:i w:val="0"/>
        </w:rPr>
        <w:t xml:space="preserve"> Expected is fractional and observed is an integer, so 2 against 1.8 read as an excess. The count is judged by a binomial tail (p = 0.54 for this many or more); no wording in any version of this paper rested on the earlier comparison.</w:t>
      </w:r>
    </w:p>
    <w:p>
      <w:pPr>
        <w:keepNext/>
      </w:pPr>
      <w:r>
        <w:rPr>
          <w:b/>
          <w:i w:val="0"/>
        </w:rPr>
        <w:t>Historical record 13</w:t>
      </w:r>
    </w:p>
    <w:p>
      <w:pPr>
        <w:keepNext/>
      </w:pPr>
      <w:r>
        <w:rPr>
          <w:b/>
          <w:i w:val="0"/>
        </w:rPr>
        <w:t>claim, as previously written:</w:t>
      </w:r>
      <w:r>
        <w:rPr>
          <w:b w:val="0"/>
          <w:i w:val="0"/>
        </w:rPr>
        <w:t xml:space="preserve"> </w:t>
      </w:r>
      <w:r>
        <w:rPr>
          <w:b/>
          <w:i w:val="0"/>
        </w:rPr>
        <w:t>"No genome-wide chromatin experiment performed with an NR4A3 fusion was retrieved in 2,276 full-text documents across five corpora"</w:t>
      </w:r>
      <w:r>
        <w:rPr>
          <w:b w:val="0"/>
          <w:i w:val="0"/>
        </w:rPr>
        <w:t xml:space="preserve"> — §3.11, §4.2, §6, the abstract ("no chromatin experiment with an NR4A3 fusion was retrieved") and the cover letter, each reading the corpus count as an absence.</w:t>
      </w:r>
    </w:p>
    <w:p>
      <w:pPr>
        <w:keepNext/>
      </w:pPr>
      <w:r>
        <w:rPr>
          <w:b/>
          <w:i w:val="0"/>
        </w:rPr>
        <w:t>status:</w:t>
      </w:r>
      <w:r>
        <w:rPr>
          <w:b w:val="0"/>
          <w:i w:val="0"/>
        </w:rPr>
        <w:t xml:space="preserve"> </w:t>
      </w:r>
      <w:r>
        <w:rPr>
          <w:b/>
          <w:i w:val="0"/>
        </w:rPr>
        <w:t>retracted 2026-08-08</w:t>
      </w:r>
    </w:p>
    <w:p>
      <w:r>
        <w:rPr>
          <w:b/>
          <w:i w:val="0"/>
        </w:rPr>
        <w:t>what replaced it:</w:t>
      </w:r>
      <w:r>
        <w:rPr>
          <w:b w:val="0"/>
          <w:i w:val="0"/>
        </w:rPr>
        <w:t xml:space="preserve"> </w:t>
      </w:r>
      <w:r>
        <w:rPr>
          <w:b/>
          <w:i w:val="0"/>
        </w:rPr>
        <w:t>The corpus count is unchanged and was never wrong</w:t>
      </w:r>
      <w:r>
        <w:rPr>
          <w:b w:val="0"/>
          <w:i w:val="0"/>
        </w:rPr>
        <w:t xml:space="preserve">: 2,276 documents were searched, 153 name both a genome-wide chromatin method and NR4A3/NOR-1/TEC, and none of the 153 applies one to an NR4A3 chimera. What is retracted is the </w:t>
      </w:r>
      <w:r>
        <w:rPr>
          <w:b/>
          <w:i w:val="0"/>
        </w:rPr>
        <w:t>inference from that screen to an absence</w:t>
      </w:r>
      <w:r>
        <w:rPr>
          <w:b w:val="0"/>
          <w:i w:val="0"/>
        </w:rPr>
        <w:t xml:space="preserve">. A wider search the same day — the primary sequence archives rather than the literature alone — retrieved </w:t>
      </w:r>
      <w:r>
        <w:rPr>
          <w:b/>
          <w:i w:val="0"/>
        </w:rPr>
        <w:t>GEO GSE243553</w:t>
      </w:r>
      <w:r>
        <w:rPr>
          <w:b w:val="0"/>
          <w:i w:val="0"/>
        </w:rPr>
        <w:t xml:space="preserve"> (PMID 39048711, public 2024-07-24), a pooled single-cell ATAC screen in HEK293T whose library carries EWSR1-NR4A3, TAF15-NR4A3, TCF12-NR4A3 and TFG-NR4A3 with wild-type NR4A3 and the reciprocal NR4A3-EWSR1 as controls. The earlier screen could not reach it for two reasons, both recorded: the paper's title and abstract say only "&gt;100 oncofusions" and name NR4A3 nowhere, and this project's prior chromatin census (</w:t>
      </w:r>
      <w:r>
        <w:rPr>
          <w:rFonts w:ascii="Consolas" w:hAnsi="Consolas"/>
          <w:b w:val="0"/>
          <w:i w:val="0"/>
          <w:sz w:val="18"/>
        </w:rPr>
        <w:t>emc-ret-cistrome.json</w:t>
      </w:r>
      <w:r>
        <w:rPr>
          <w:b w:val="0"/>
          <w:i w:val="0"/>
        </w:rPr>
        <w:t xml:space="preserve">) filtered on antigen ∈ {NR4A1, NR4A2, NR4A3} with a ChIP-seq-only method vocabulary, which no pooled ATAC deposit can satisfy. </w:t>
      </w:r>
      <w:r>
        <w:rPr>
          <w:b/>
          <w:i w:val="0"/>
        </w:rPr>
        <w:t>The replacement claim is narrower and is what §3.11, §4.2, §6 and the abstract now carry:</w:t>
      </w:r>
      <w:r>
        <w:rPr>
          <w:b w:val="0"/>
          <w:i w:val="0"/>
        </w:rPr>
        <w:t xml:space="preserve"> </w:t>
      </w:r>
      <w:r>
        <w:rPr>
          <w:b w:val="0"/>
          <w:i/>
        </w:rPr>
        <w:t>no experiment has measured where an NR4A3 fusion binds, or what chromatin does, in EMC material</w:t>
      </w:r>
      <w:r>
        <w:rPr>
          <w:b w:val="0"/>
          <w:i w:val="0"/>
        </w:rPr>
        <w:t xml:space="preserve"> — GSE243553 being accessibility rather than occupancy, and HEK293T rather than EMC — while the same archives hold chromatin maps for EWSR1::WT1, EWSR1::ATF1, EWSR1::FLI1, FUS::DDIT3 and (twice) HEY1::NCOA2. Full search record: </w:t>
      </w:r>
      <w:r>
        <w:rPr>
          <w:rFonts w:ascii="Consolas" w:hAnsi="Consolas"/>
          <w:b w:val="0"/>
          <w:i w:val="0"/>
          <w:sz w:val="18"/>
        </w:rPr>
        <w:t>nr4a3-cistrome-search-2026-08-08.md</w:t>
      </w:r>
      <w:r>
        <w:rPr>
          <w:b w:val="0"/>
          <w:i w:val="0"/>
        </w:rPr>
        <w:t xml:space="preserve"> (nr4a3-cistrome-search-2026-08-08.md); corpus: </w:t>
      </w:r>
      <w:r>
        <w:rPr>
          <w:rFonts w:ascii="Consolas" w:hAnsi="Consolas"/>
          <w:b w:val="0"/>
          <w:i w:val="0"/>
          <w:sz w:val="18"/>
        </w:rPr>
        <w:t>lit-targets-nr4a3-cistrome.json</w:t>
      </w:r>
      <w:r>
        <w:rPr>
          <w:b w:val="0"/>
          <w:i w:val="0"/>
        </w:rPr>
        <w:t xml:space="preserve"> (lit-targets-nr4a3-cistrome.json). No number in §3 moved and the occupancy axis of Supplementary Table S14 is untouched.</w:t>
      </w:r>
    </w:p>
    <w:p>
      <w:pPr>
        <w:keepNext/>
      </w:pPr>
      <w:r>
        <w:rPr>
          <w:b/>
          <w:i w:val="0"/>
        </w:rPr>
        <w:t>Historical record 14</w:t>
      </w:r>
    </w:p>
    <w:p>
      <w:pPr>
        <w:keepNext/>
      </w:pPr>
      <w:r>
        <w:rPr>
          <w:b/>
          <w:i w:val="0"/>
        </w:rPr>
        <w:t>claim, as previously written:</w:t>
      </w:r>
      <w:r>
        <w:rPr>
          <w:b w:val="0"/>
          <w:i w:val="0"/>
        </w:rPr>
        <w:t xml:space="preserve"> §3.10's first caveat: "</w:t>
      </w:r>
      <w:r>
        <w:rPr>
          <w:b/>
          <w:i w:val="0"/>
        </w:rPr>
        <w:t>A motif is not occupancy</w:t>
      </w:r>
      <w:r>
        <w:rPr>
          <w:b w:val="0"/>
          <w:i w:val="0"/>
        </w:rPr>
        <w:t xml:space="preserve"> — only a chromatin experiment shows binding, and §3.11 records that none exists for any NR4A3 fusion."</w:t>
      </w:r>
    </w:p>
    <w:p>
      <w:pPr>
        <w:keepNext/>
      </w:pPr>
      <w:r>
        <w:rPr>
          <w:b/>
          <w:i w:val="0"/>
        </w:rPr>
        <w:t>status:</w:t>
      </w:r>
      <w:r>
        <w:rPr>
          <w:b w:val="0"/>
          <w:i w:val="0"/>
        </w:rPr>
        <w:t xml:space="preserve"> </w:t>
      </w:r>
      <w:r>
        <w:rPr>
          <w:b/>
          <w:i w:val="0"/>
        </w:rPr>
        <w:t>superseded 2026-08-08</w:t>
      </w:r>
    </w:p>
    <w:p>
      <w:r>
        <w:rPr>
          <w:b/>
          <w:i w:val="0"/>
        </w:rPr>
        <w:t>what replaced it:</w:t>
      </w:r>
      <w:r>
        <w:rPr>
          <w:b w:val="0"/>
          <w:i w:val="0"/>
        </w:rPr>
        <w:t xml:space="preserve"> The second clause inherited the retracted absence directly above and was false the moment it was retracted. The experiment exists, and it has now been </w:t>
      </w:r>
      <w:r>
        <w:rPr>
          <w:b w:val="0"/>
          <w:i/>
        </w:rPr>
        <w:t>run against these exact coordinates</w:t>
      </w:r>
      <w:r>
        <w:rPr>
          <w:b w:val="0"/>
          <w:i w:val="0"/>
        </w:rPr>
        <w:t xml:space="preserve"> rather than merely cited: the four exact NBREs were intersected with GSE243553's per-fusion accessibility calls on the matching build (deposit hg38, coordinates GRCh38, no lift-over). </w:t>
      </w:r>
      <w:r>
        <w:rPr>
          <w:b/>
          <w:i w:val="0"/>
        </w:rPr>
        <w:t>Three of four sites fall inside TAF15-NR4A3's intervals and none inside EWSR1-NR4A3's, and neither observation supports the motif argument</w:t>
      </w:r>
      <w:r>
        <w:rPr>
          <w:b w:val="0"/>
          <w:i w:val="0"/>
        </w:rPr>
        <w:t xml:space="preserve"> — the EWSR1-NR4A3 set recovers only 2 of 203 background promoters, so its zero is not a reading, and the TAF15-NR4A3 co-location does not clear a null that slides the whole four-site configuration at its true spacing (</w:t>
      </w:r>
      <w:r>
        <w:rPr>
          <w:b w:val="0"/>
          <w:i/>
        </w:rPr>
        <w:t>p</w:t>
      </w:r>
      <w:r>
        <w:rPr>
          <w:b w:val="0"/>
          <w:i w:val="0"/>
        </w:rPr>
        <w:t xml:space="preserve"> = 0.08, 20,000 seeded draws). ⚠ </w:t>
      </w:r>
      <w:r>
        <w:rPr>
          <w:b/>
          <w:i w:val="0"/>
        </w:rPr>
        <w:t>The calibration is the finding, not the overlap.</w:t>
      </w:r>
      <w:r>
        <w:rPr>
          <w:b w:val="0"/>
          <w:i w:val="0"/>
        </w:rPr>
        <w:t xml:space="preserve"> Two of the four sites are 153 bp apart and one 500 bp interval covers both, so nulls treating the sites as independent return </w:t>
      </w:r>
      <w:r>
        <w:rPr>
          <w:b w:val="0"/>
          <w:i/>
        </w:rPr>
        <w:t>p</w:t>
      </w:r>
      <w:r>
        <w:rPr>
          <w:b w:val="0"/>
          <w:i w:val="0"/>
        </w:rPr>
        <w:t xml:space="preserve"> ≤ 0.002 and overstate the result ≈40-fold; the geometry-preserving null is the honest one and it does not clear. Bounded three ways in the live text: HEK293T rather than EMC chromatin, accessibility rather than binding, and </w:t>
      </w:r>
      <w:r>
        <w:rPr>
          <w:b w:val="0"/>
          <w:i/>
        </w:rPr>
        <w:t>ENO3</w:t>
      </w:r>
      <w:r>
        <w:rPr>
          <w:b w:val="0"/>
          <w:i w:val="0"/>
        </w:rPr>
        <w:t xml:space="preserve"> is this paper's own pre-designated positive control (§2.4), so a hit would have been a check on the instrument rather than a discovery. Method, seeds and all four nulls: </w:t>
      </w:r>
      <w:r>
        <w:rPr>
          <w:rFonts w:ascii="Consolas" w:hAnsi="Consolas"/>
          <w:b w:val="0"/>
          <w:i w:val="0"/>
          <w:sz w:val="18"/>
        </w:rPr>
        <w:t>gse243553-eno3-overlap-2026-08-08.md</w:t>
      </w:r>
      <w:r>
        <w:rPr>
          <w:b w:val="0"/>
          <w:i w:val="0"/>
        </w:rPr>
        <w:t xml:space="preserve"> (gse243553-eno3-overlap-2026-08-08.md). No number in §3.10's motif counts changed.</w:t>
      </w:r>
    </w:p>
    <w:p>
      <w:pPr>
        <w:keepNext/>
      </w:pPr>
      <w:r>
        <w:rPr>
          <w:b/>
          <w:i w:val="0"/>
        </w:rPr>
        <w:t>Historical record 15</w:t>
      </w:r>
    </w:p>
    <w:p>
      <w:pPr>
        <w:keepNext/>
      </w:pPr>
      <w:r>
        <w:rPr>
          <w:b/>
          <w:i w:val="0"/>
        </w:rPr>
        <w:t>claim, as previously written:</w:t>
      </w:r>
      <w:r>
        <w:rPr>
          <w:b w:val="0"/>
          <w:i w:val="0"/>
        </w:rPr>
        <w:t xml:space="preserve"> §3.13: "Within that reach, </w:t>
      </w:r>
      <w:r>
        <w:rPr>
          <w:b/>
          <w:i w:val="0"/>
        </w:rPr>
        <w:t>no fourth EMC expression cohort exists</w:t>
      </w:r>
      <w:r>
        <w:rPr>
          <w:b w:val="0"/>
          <w:i w:val="0"/>
        </w:rPr>
        <w:t>", and "the three cohorts analysed here are the available public EMC transcriptional record".</w:t>
      </w:r>
    </w:p>
    <w:p>
      <w:pPr>
        <w:keepNext/>
      </w:pPr>
      <w:r>
        <w:rPr>
          <w:b/>
          <w:i w:val="0"/>
        </w:rPr>
        <w:t>status:</w:t>
      </w:r>
      <w:r>
        <w:rPr>
          <w:b w:val="0"/>
          <w:i w:val="0"/>
        </w:rPr>
        <w:t xml:space="preserve"> </w:t>
      </w:r>
      <w:r>
        <w:rPr>
          <w:b/>
          <w:i w:val="0"/>
        </w:rPr>
        <w:t>narrowed 2026-08-08</w:t>
      </w:r>
    </w:p>
    <w:p>
      <w:r>
        <w:rPr>
          <w:b/>
          <w:i w:val="0"/>
        </w:rPr>
        <w:t>what replaced it:</w:t>
      </w:r>
      <w:r>
        <w:rPr>
          <w:b w:val="0"/>
          <w:i w:val="0"/>
        </w:rPr>
        <w:t xml:space="preserve"> The search was </w:t>
      </w:r>
      <w:r>
        <w:rPr>
          <w:b/>
          <w:i w:val="0"/>
        </w:rPr>
        <w:t>GEO-side</w:t>
      </w:r>
      <w:r>
        <w:rPr>
          <w:b w:val="0"/>
          <w:i w:val="0"/>
        </w:rPr>
        <w:t xml:space="preserve"> and its reach caveat already said so; what it did not say is that a deposit outside that reach had been found. </w:t>
      </w:r>
      <w:r>
        <w:rPr>
          <w:rFonts w:ascii="Consolas" w:hAnsi="Consolas"/>
          <w:b w:val="0"/>
          <w:i w:val="0"/>
          <w:sz w:val="18"/>
        </w:rPr>
        <w:t>PRJNA1357027</w:t>
      </w:r>
      <w:r>
        <w:rPr>
          <w:b w:val="0"/>
          <w:i w:val="0"/>
        </w:rPr>
        <w:t xml:space="preserve"> / </w:t>
      </w:r>
      <w:r>
        <w:rPr>
          <w:rFonts w:ascii="Consolas" w:hAnsi="Consolas"/>
          <w:b w:val="0"/>
          <w:i w:val="0"/>
          <w:sz w:val="18"/>
        </w:rPr>
        <w:t>SRP640302</w:t>
      </w:r>
      <w:r>
        <w:rPr>
          <w:b w:val="0"/>
          <w:i w:val="0"/>
        </w:rPr>
        <w:t xml:space="preserve"> is public in the Sequence Read Archive — </w:t>
      </w:r>
      <w:r>
        <w:rPr>
          <w:b/>
          <w:i w:val="0"/>
        </w:rPr>
        <w:t>12 FFPE EMC tumour BioSamples</w:t>
      </w:r>
      <w:r>
        <w:rPr>
          <w:b w:val="0"/>
          <w:i w:val="0"/>
        </w:rPr>
        <w:t xml:space="preserve">, released 2025-11-11, all 12 runs downloadable, with </w:t>
      </w:r>
      <w:r>
        <w:rPr>
          <w:b/>
          <w:i w:val="0"/>
        </w:rPr>
        <w:t xml:space="preserve">per-sample </w:t>
      </w:r>
      <w:r>
        <w:rPr>
          <w:rFonts w:ascii="Consolas" w:hAnsi="Consolas"/>
          <w:b/>
          <w:i w:val="0"/>
          <w:sz w:val="18"/>
        </w:rPr>
        <w:t>EWSR1</w:t>
      </w:r>
      <w:r>
        <w:rPr>
          <w:b/>
          <w:i w:val="0"/>
        </w:rPr>
        <w:t xml:space="preserve"> break-apart FISH status</w:t>
      </w:r>
      <w:r>
        <w:rPr>
          <w:b w:val="0"/>
          <w:i w:val="0"/>
        </w:rPr>
        <w:t xml:space="preserve"> (8+/4−) — with no linked publication and no GEO mirror, which is precisely why a GEO term search cannot see it. ⚠ </w:t>
      </w:r>
      <w:r>
        <w:rPr>
          <w:b/>
          <w:i w:val="0"/>
        </w:rPr>
        <w:t>Limitation 1's n = 4, 6 and 10 is UNCHANGED for the analyses this paper runs</w:t>
      </w:r>
      <w:r>
        <w:rPr>
          <w:b w:val="0"/>
          <w:i w:val="0"/>
        </w:rPr>
        <w:t xml:space="preserve">, because the deposit is TempO-Seq targeted-panel data whose panel is named nowhere in its metadata while its </w:t>
      </w:r>
      <w:r>
        <w:rPr>
          <w:rFonts w:ascii="Consolas" w:hAnsi="Consolas"/>
          <w:b w:val="0"/>
          <w:i w:val="0"/>
          <w:sz w:val="18"/>
        </w:rPr>
        <w:t>library_strategy</w:t>
      </w:r>
      <w:r>
        <w:rPr>
          <w:b w:val="0"/>
          <w:i w:val="0"/>
        </w:rPr>
        <w:t xml:space="preserve"> field reads </w:t>
      </w:r>
      <w:r>
        <w:rPr>
          <w:rFonts w:ascii="Consolas" w:hAnsi="Consolas"/>
          <w:b w:val="0"/>
          <w:i w:val="0"/>
          <w:sz w:val="18"/>
        </w:rPr>
        <w:t>RNA-Seq</w:t>
      </w:r>
      <w:r>
        <w:rPr>
          <w:b w:val="0"/>
          <w:i w:val="0"/>
        </w:rPr>
        <w:t xml:space="preserve"> — a whole-transcriptome contrast run against it would return a matrix mostly zeros by construction with nothing warning the analyst. Nor may </w:t>
      </w:r>
      <w:r>
        <w:rPr>
          <w:rFonts w:ascii="Consolas" w:hAnsi="Consolas"/>
          <w:b w:val="0"/>
          <w:i w:val="0"/>
          <w:sz w:val="18"/>
        </w:rPr>
        <w:t>EWSR1</w:t>
      </w:r>
      <w:r>
        <w:rPr>
          <w:b w:val="0"/>
          <w:i w:val="0"/>
        </w:rPr>
        <w:t xml:space="preserve">-negative be read as "not EMC": a break-apart call names no partner and a </w:t>
      </w:r>
      <w:r>
        <w:rPr>
          <w:rFonts w:ascii="Consolas" w:hAnsi="Consolas"/>
          <w:b w:val="0"/>
          <w:i w:val="0"/>
          <w:sz w:val="18"/>
        </w:rPr>
        <w:t>TAF15::NR4A3</w:t>
      </w:r>
      <w:r>
        <w:rPr>
          <w:b w:val="0"/>
          <w:i w:val="0"/>
        </w:rPr>
        <w:t xml:space="preserve"> case is </w:t>
      </w:r>
      <w:r>
        <w:rPr>
          <w:rFonts w:ascii="Consolas" w:hAnsi="Consolas"/>
          <w:b w:val="0"/>
          <w:i w:val="0"/>
          <w:sz w:val="18"/>
        </w:rPr>
        <w:t>EWSR1</w:t>
      </w:r>
      <w:r>
        <w:rPr>
          <w:b w:val="0"/>
          <w:i w:val="0"/>
        </w:rPr>
        <w:t xml:space="preserve">-negative by construction, so those four samples are informative and unresolved. What is retracted is only the unqualified sentence. Characterisation, every query and the three transport controls: </w:t>
      </w:r>
      <w:r>
        <w:rPr>
          <w:rFonts w:ascii="Consolas" w:hAnsi="Consolas"/>
          <w:b w:val="0"/>
          <w:i w:val="0"/>
          <w:sz w:val="18"/>
        </w:rPr>
        <w:t>emc-fourth-cohort-sra-2026-08-08.md</w:t>
      </w:r>
      <w:r>
        <w:rPr>
          <w:b w:val="0"/>
          <w:i w:val="0"/>
        </w:rPr>
        <w:t xml:space="preserve"> (emc-fourth-cohort-sra-2026-08-08.md).</w:t>
      </w:r>
    </w:p>
    <w:p>
      <w:pPr>
        <w:keepNext/>
      </w:pPr>
      <w:r>
        <w:rPr>
          <w:b/>
          <w:i w:val="0"/>
        </w:rPr>
        <w:t>Historical record 16</w:t>
      </w:r>
    </w:p>
    <w:p>
      <w:pPr>
        <w:keepNext/>
      </w:pPr>
      <w:r>
        <w:rPr>
          <w:b/>
          <w:i w:val="0"/>
        </w:rPr>
        <w:t>claim, as previously written:</w:t>
      </w:r>
      <w:r>
        <w:rPr>
          <w:b w:val="0"/>
          <w:i w:val="0"/>
        </w:rPr>
        <w:t xml:space="preserve"> "top 2% of </w:t>
      </w:r>
      <w:r>
        <w:rPr>
          <w:b/>
          <w:i w:val="0"/>
        </w:rPr>
        <w:t>14,120</w:t>
      </w:r>
      <w:r>
        <w:rPr>
          <w:b w:val="0"/>
          <w:i w:val="0"/>
        </w:rPr>
        <w:t xml:space="preserve"> genes" and "Table 7 … calibrated against all 14,120 genes" — the deposit size used as the denominator of a percentile.</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14,120 is the number of genes in the deposit, not the number ranked. The percentile distributions exclude any gene whose comparator median is zero, so the denominators are </w:t>
      </w:r>
      <w:r>
        <w:rPr>
          <w:b/>
          <w:i w:val="0"/>
        </w:rPr>
        <w:t>13,708</w:t>
      </w:r>
      <w:r>
        <w:rPr>
          <w:b w:val="0"/>
          <w:i w:val="0"/>
        </w:rPr>
        <w:t xml:space="preserve"> on the EMC/normal axis and </w:t>
      </w:r>
      <w:r>
        <w:rPr>
          <w:b/>
          <w:i w:val="0"/>
        </w:rPr>
        <w:t>13,247</w:t>
      </w:r>
      <w:r>
        <w:rPr>
          <w:b w:val="0"/>
          <w:i w:val="0"/>
        </w:rPr>
        <w:t xml:space="preserve"> on the EMC/sarcoma axis (</w:t>
      </w:r>
      <w:r>
        <w:rPr>
          <w:rFonts w:ascii="Consolas" w:hAnsi="Consolas"/>
          <w:b w:val="0"/>
          <w:i w:val="0"/>
          <w:sz w:val="18"/>
        </w:rPr>
        <w:t>gse28866-tumour-vs-normal.json</w:t>
      </w:r>
      <w:r>
        <w:rPr>
          <w:b w:val="0"/>
          <w:i w:val="0"/>
        </w:rPr>
        <w:t xml:space="preserve"> → </w:t>
      </w:r>
      <w:r>
        <w:rPr>
          <w:rFonts w:ascii="Consolas" w:hAnsi="Consolas"/>
          <w:b w:val="0"/>
          <w:i w:val="0"/>
          <w:sz w:val="18"/>
        </w:rPr>
        <w:t>ratio_calibration.n_genes_with_a_{normal,sarcoma}_ratio</w:t>
      </w:r>
      <w:r>
        <w:rPr>
          <w:b w:val="0"/>
          <w:i w:val="0"/>
        </w:rPr>
        <w:t>). Each site now states the scope its own number was computed on. No percentile changed.</w:t>
      </w:r>
    </w:p>
    <w:p>
      <w:pPr>
        <w:keepNext/>
      </w:pPr>
      <w:r>
        <w:rPr>
          <w:b/>
          <w:i w:val="0"/>
        </w:rPr>
        <w:t>Historical record 17</w:t>
      </w:r>
    </w:p>
    <w:p>
      <w:pPr>
        <w:keepNext/>
      </w:pPr>
      <w:r>
        <w:rPr>
          <w:b/>
          <w:i w:val="0"/>
        </w:rPr>
        <w:t>claim, as previously written:</w:t>
      </w:r>
      <w:r>
        <w:rPr>
          <w:b w:val="0"/>
          <w:i w:val="0"/>
        </w:rPr>
        <w:t xml:space="preserve"> "</w:t>
      </w:r>
      <w:r>
        <w:rPr>
          <w:b/>
          <w:i w:val="0"/>
        </w:rPr>
        <w:t>42–70%</w:t>
      </w:r>
      <w:r>
        <w:rPr>
          <w:b w:val="0"/>
          <w:i w:val="0"/>
        </w:rPr>
        <w:t xml:space="preserve"> of their citations come from EMC records" (§1.3).</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Only three of the four primary sources returned a citing-record count — 42% (Filion, 22/52), 54% (Subramanian, 27/50) and 33% (Kim, 4/12). The Brenca query returned </w:t>
      </w:r>
      <w:r>
        <w:rPr>
          <w:b/>
          <w:i w:val="0"/>
        </w:rPr>
        <w:t>no count</w:t>
      </w:r>
      <w:r>
        <w:rPr>
          <w:b w:val="0"/>
          <w:i w:val="0"/>
        </w:rPr>
        <w:t xml:space="preserve"> (</w:t>
      </w:r>
      <w:r>
        <w:rPr>
          <w:rFonts w:ascii="Consolas" w:hAnsi="Consolas"/>
          <w:b w:val="0"/>
          <w:i w:val="0"/>
          <w:sz w:val="18"/>
        </w:rPr>
        <w:t>fusion-consensus-probe.json</w:t>
      </w:r>
      <w:r>
        <w:rPr>
          <w:b w:val="0"/>
          <w:i w:val="0"/>
        </w:rPr>
        <w:t xml:space="preserve"> → </w:t>
      </w:r>
      <w:r>
        <w:rPr>
          <w:rFonts w:ascii="Consolas" w:hAnsi="Consolas"/>
          <w:b w:val="0"/>
          <w:i w:val="0"/>
          <w:sz w:val="18"/>
        </w:rPr>
        <w:t>queries.brenca_2019_sema3c__citing_all.hit_count</w:t>
      </w:r>
      <w:r>
        <w:rPr>
          <w:b w:val="0"/>
          <w:i w:val="0"/>
        </w:rPr>
        <w:t xml:space="preserve"> = </w:t>
      </w:r>
      <w:r>
        <w:rPr>
          <w:rFonts w:ascii="Consolas" w:hAnsi="Consolas"/>
          <w:b w:val="0"/>
          <w:i w:val="0"/>
          <w:sz w:val="18"/>
        </w:rPr>
        <w:t>null</w:t>
      </w:r>
      <w:r>
        <w:rPr>
          <w:b w:val="0"/>
          <w:i w:val="0"/>
        </w:rPr>
        <w:t xml:space="preserve">, </w:t>
      </w:r>
      <w:r>
        <w:rPr>
          <w:rFonts w:ascii="Consolas" w:hAnsi="Consolas"/>
          <w:b w:val="0"/>
          <w:i w:val="0"/>
          <w:sz w:val="18"/>
        </w:rPr>
        <w:t>returned</w:t>
      </w:r>
      <w:r>
        <w:rPr>
          <w:b w:val="0"/>
          <w:i w:val="0"/>
        </w:rPr>
        <w:t xml:space="preserve"> = 0), so the upper bound of the printed range rested on a missing measurement rather than on a value. The three resolved fractions are now given individually and the Brenca fraction is stated as UNKNOWN.</w:t>
      </w:r>
    </w:p>
    <w:p>
      <w:pPr>
        <w:keepNext/>
      </w:pPr>
      <w:r>
        <w:rPr>
          <w:b/>
          <w:i w:val="0"/>
        </w:rPr>
        <w:t>Historical record 18</w:t>
      </w:r>
    </w:p>
    <w:p>
      <w:pPr>
        <w:keepNext/>
      </w:pPr>
      <w:r>
        <w:rPr>
          <w:b/>
          <w:i w:val="0"/>
        </w:rPr>
        <w:t>claim, as previously written:</w:t>
      </w:r>
      <w:r>
        <w:rPr>
          <w:b w:val="0"/>
          <w:i w:val="0"/>
        </w:rPr>
        <w:t xml:space="preserve"> "</w:t>
      </w:r>
      <w:r>
        <w:rPr>
          <w:b w:val="0"/>
          <w:i/>
        </w:rPr>
        <w:t>SEMA3C</w:t>
      </w:r>
      <w:r>
        <w:rPr>
          <w:b w:val="0"/>
          <w:i w:val="0"/>
        </w:rPr>
        <w:t xml:space="preserve">'s 39 one-mismatch sites — </w:t>
      </w:r>
      <w:r>
        <w:rPr>
          <w:b/>
          <w:i w:val="0"/>
        </w:rPr>
        <w:t>the most of any gene scanned</w:t>
      </w:r>
      <w:r>
        <w:rPr>
          <w:b w:val="0"/>
          <w:i w:val="0"/>
        </w:rPr>
        <w:t>" and those sites being "</w:t>
      </w:r>
      <w:r>
        <w:rPr>
          <w:b/>
          <w:i w:val="0"/>
        </w:rPr>
        <w:t>exactly what its own composition predicts</w:t>
      </w:r>
      <w:r>
        <w:rPr>
          <w:b w:val="0"/>
          <w:i w:val="0"/>
        </w:rPr>
        <w:t>" (§3.10).</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39 is the most of the three class-A genes, not of the scan: 7 of the 198 background windows carry as many or more, the highest at 43 (</w:t>
      </w:r>
      <w:r>
        <w:rPr>
          <w:rFonts w:ascii="Consolas" w:hAnsi="Consolas"/>
          <w:b w:val="0"/>
          <w:i w:val="0"/>
          <w:sz w:val="18"/>
        </w:rPr>
        <w:t>emc-ret-target-scan.json</w:t>
      </w:r>
      <w:r>
        <w:rPr>
          <w:b w:val="0"/>
          <w:i w:val="0"/>
        </w:rPr>
        <w:t xml:space="preserve"> → </w:t>
      </w:r>
      <w:r>
        <w:rPr>
          <w:rFonts w:ascii="Consolas" w:hAnsi="Consolas"/>
          <w:b w:val="0"/>
          <w:i w:val="0"/>
          <w:sz w:val="18"/>
        </w:rPr>
        <w:t>part_1_nbre_scan.background_panel.counts</w:t>
      </w:r>
      <w:r>
        <w:rPr>
          <w:b w:val="0"/>
          <w:i w:val="0"/>
        </w:rPr>
        <w:t xml:space="preserve">). And the composition nulls are </w:t>
      </w:r>
      <w:r>
        <w:rPr>
          <w:b/>
          <w:i w:val="0"/>
        </w:rPr>
        <w:t>not significant</w:t>
      </w:r>
      <w:r>
        <w:rPr>
          <w:b w:val="0"/>
          <w:i w:val="0"/>
        </w:rPr>
        <w:t xml:space="preserve"> (p = 0.203; GC-matched p = 0.118), so they leave composition unrefuted rather than demonstrated; "exactly what composition predicts" read a null as proof of the prediction. The counts themselves are unchanged.</w:t>
      </w:r>
    </w:p>
    <w:p>
      <w:pPr>
        <w:keepNext/>
      </w:pPr>
      <w:r>
        <w:rPr>
          <w:b/>
          <w:i w:val="0"/>
        </w:rPr>
        <w:t>Historical record 19</w:t>
      </w:r>
    </w:p>
    <w:p>
      <w:pPr>
        <w:keepNext/>
      </w:pPr>
      <w:r>
        <w:rPr>
          <w:b/>
          <w:i w:val="0"/>
        </w:rPr>
        <w:t>claim, as previously written:</w:t>
      </w:r>
      <w:r>
        <w:rPr>
          <w:b w:val="0"/>
          <w:i w:val="0"/>
        </w:rPr>
        <w:t xml:space="preserve"> Table 9 rows and the "2 of 36" headline read as one measurement each, without naming a genome build (§3.11).</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Every </w:t>
      </w:r>
      <w:r>
        <w:rPr>
          <w:rFonts w:ascii="Consolas" w:hAnsi="Consolas"/>
          <w:b w:val="0"/>
          <w:i w:val="0"/>
          <w:sz w:val="18"/>
        </w:rPr>
        <w:t>SRX</w:t>
      </w:r>
      <w:r>
        <w:rPr>
          <w:b w:val="0"/>
          <w:i w:val="0"/>
        </w:rPr>
        <w:t xml:space="preserve"> experiment is processed on both hg19 and hg38 (</w:t>
      </w:r>
      <w:r>
        <w:rPr>
          <w:rFonts w:ascii="Consolas" w:hAnsi="Consolas"/>
          <w:b w:val="0"/>
          <w:i w:val="0"/>
          <w:sz w:val="18"/>
        </w:rPr>
        <w:t>nr4a3-fusion-targets-occupancy.json</w:t>
      </w:r>
      <w:r>
        <w:rPr>
          <w:b w:val="0"/>
          <w:i w:val="0"/>
        </w:rPr>
        <w:t xml:space="preserve"> → </w:t>
      </w:r>
      <w:r>
        <w:rPr>
          <w:rFonts w:ascii="Consolas" w:hAnsi="Consolas"/>
          <w:b w:val="0"/>
          <w:i w:val="0"/>
          <w:sz w:val="18"/>
        </w:rPr>
        <w:t>per_peakset</w:t>
      </w:r>
      <w:r>
        <w:rPr>
          <w:b w:val="0"/>
          <w:i w:val="0"/>
        </w:rPr>
        <w:t xml:space="preserve"> keys). The table's </w:t>
      </w:r>
      <w:r>
        <w:rPr>
          <w:rFonts w:ascii="Consolas" w:hAnsi="Consolas"/>
          <w:b w:val="0"/>
          <w:i w:val="0"/>
          <w:sz w:val="18"/>
        </w:rPr>
        <w:t>SRX</w:t>
      </w:r>
      <w:r>
        <w:rPr>
          <w:b w:val="0"/>
          <w:i w:val="0"/>
        </w:rPr>
        <w:t xml:space="preserve"> rows are the </w:t>
      </w:r>
      <w:r>
        <w:rPr>
          <w:b/>
          <w:i w:val="0"/>
        </w:rPr>
        <w:t>hg38</w:t>
      </w:r>
      <w:r>
        <w:rPr>
          <w:b w:val="0"/>
          <w:i w:val="0"/>
        </w:rPr>
        <w:t xml:space="preserve"> leaves and are now labelled so; the "2 of 36" count is computed from a different quantity, the </w:t>
      </w:r>
      <w:r>
        <w:rPr>
          <w:b/>
          <w:i w:val="0"/>
        </w:rPr>
        <w:t>across-build minimum</w:t>
      </w:r>
      <w:r>
        <w:rPr>
          <w:b w:val="0"/>
          <w:i w:val="0"/>
        </w:rPr>
        <w:t xml:space="preserve"> in </w:t>
      </w:r>
      <w:r>
        <w:rPr>
          <w:rFonts w:ascii="Consolas" w:hAnsi="Consolas"/>
          <w:b w:val="0"/>
          <w:i w:val="0"/>
          <w:sz w:val="18"/>
        </w:rPr>
        <w:t>per_gene_summary.&lt;gene&gt;.empirical_p_by_experiment</w:t>
      </w:r>
      <w:r>
        <w:rPr>
          <w:b w:val="0"/>
          <w:i w:val="0"/>
        </w:rPr>
        <w:t xml:space="preserve">, which is now named where it is used. The one consequence: </w:t>
      </w:r>
      <w:r>
        <w:rPr>
          <w:b w:val="0"/>
          <w:i/>
        </w:rPr>
        <w:t>ENO3</w:t>
      </w:r>
      <w:r>
        <w:rPr>
          <w:b w:val="0"/>
          <w:i w:val="0"/>
        </w:rPr>
        <w:t xml:space="preserve"> in </w:t>
      </w:r>
      <w:r>
        <w:rPr>
          <w:rFonts w:ascii="Consolas" w:hAnsi="Consolas"/>
          <w:b w:val="0"/>
          <w:i w:val="0"/>
          <w:sz w:val="18"/>
        </w:rPr>
        <w:t>SRX1653203</w:t>
      </w:r>
      <w:r>
        <w:rPr>
          <w:b w:val="0"/>
          <w:i w:val="0"/>
        </w:rPr>
        <w:t xml:space="preserve"> is 0.0498 on hg19 and 0.0503 on hg38. Because a per-experiment minimum is selected, the nominal binomial calibration is indicative rather than exact; no alternative tail was computed and none is claimed. No occupancy analysis was re-run.</w:t>
      </w:r>
    </w:p>
    <w:p>
      <w:pPr>
        <w:keepNext/>
      </w:pPr>
      <w:r>
        <w:rPr>
          <w:b/>
          <w:i w:val="0"/>
        </w:rPr>
        <w:t>Historical record 20</w:t>
      </w:r>
    </w:p>
    <w:p>
      <w:pPr>
        <w:keepNext/>
      </w:pPr>
      <w:r>
        <w:rPr>
          <w:b/>
          <w:i w:val="0"/>
        </w:rPr>
        <w:t>claim, as previously written:</w:t>
      </w:r>
      <w:r>
        <w:rPr>
          <w:b w:val="0"/>
          <w:i w:val="0"/>
        </w:rPr>
        <w:t xml:space="preserve"> "a paralogue whose peak sharing with NR4A3 is </w:t>
      </w:r>
      <w:r>
        <w:rPr>
          <w:b/>
          <w:i w:val="0"/>
        </w:rPr>
        <w:t>0.347</w:t>
      </w:r>
      <w:r>
        <w:rPr>
          <w:b w:val="0"/>
          <w:i w:val="0"/>
        </w:rPr>
        <w:t>" (§3.11, Limitation 16), stated without its source.</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The derivation is retained and is now cited: </w:t>
      </w:r>
      <w:r>
        <w:rPr>
          <w:rFonts w:ascii="Consolas" w:hAnsi="Consolas"/>
          <w:b w:val="0"/>
          <w:i w:val="0"/>
          <w:sz w:val="18"/>
        </w:rPr>
        <w:t>emc-ret-cistrome.json</w:t>
      </w:r>
      <w:r>
        <w:rPr>
          <w:b w:val="0"/>
          <w:i w:val="0"/>
        </w:rPr>
        <w:t xml:space="preserve"> → </w:t>
      </w:r>
      <w:r>
        <w:rPr>
          <w:rFonts w:ascii="Consolas" w:hAnsi="Consolas"/>
          <w:b w:val="0"/>
          <w:i w:val="0"/>
          <w:sz w:val="18"/>
        </w:rPr>
        <w:t>part_3_paralogue_overlap.genome_wide_pairwise_sharing.NR4A1_vs_NR4A3.fraction_of_a_overlapped_by_b</w:t>
      </w:r>
      <w:r>
        <w:rPr>
          <w:b w:val="0"/>
          <w:i w:val="0"/>
        </w:rPr>
        <w:t xml:space="preserve"> = </w:t>
      </w:r>
      <w:r>
        <w:rPr>
          <w:b/>
          <w:i w:val="0"/>
        </w:rPr>
        <w:t>0.3468</w:t>
      </w:r>
      <w:r>
        <w:rPr>
          <w:b w:val="0"/>
          <w:i w:val="0"/>
        </w:rPr>
        <w:t xml:space="preserve">, the fraction of the 297 NR4A1 peaks of </w:t>
      </w:r>
      <w:r>
        <w:rPr>
          <w:rFonts w:ascii="Consolas" w:hAnsi="Consolas"/>
          <w:b w:val="0"/>
          <w:i w:val="0"/>
          <w:sz w:val="18"/>
        </w:rPr>
        <w:t>SRX12698888@hg19</w:t>
      </w:r>
      <w:r>
        <w:rPr>
          <w:b w:val="0"/>
          <w:i w:val="0"/>
        </w:rPr>
        <w:t xml:space="preserve"> overlapping the 102 NR4A3 peaks of </w:t>
      </w:r>
      <w:r>
        <w:rPr>
          <w:rFonts w:ascii="Consolas" w:hAnsi="Consolas"/>
          <w:b w:val="0"/>
          <w:i w:val="0"/>
          <w:sz w:val="18"/>
        </w:rPr>
        <w:t>SRX12698890@hg19</w:t>
      </w:r>
      <w:r>
        <w:rPr>
          <w:b w:val="0"/>
          <w:i w:val="0"/>
        </w:rPr>
        <w:t xml:space="preserve"> in matched CD1c⁺ dendritic cells. Both peak sets are shallow enough to be uninformative by Supplementary Table S14's own depth rule, and the sentence now says so. The value is unchanged.</w:t>
      </w:r>
    </w:p>
    <w:p>
      <w:pPr>
        <w:keepNext/>
      </w:pPr>
      <w:r>
        <w:rPr>
          <w:b/>
          <w:i w:val="0"/>
        </w:rPr>
        <w:t>Historical record 21</w:t>
      </w:r>
    </w:p>
    <w:p>
      <w:pPr>
        <w:keepNext/>
      </w:pPr>
      <w:r>
        <w:rPr>
          <w:b/>
          <w:i w:val="0"/>
        </w:rPr>
        <w:t>claim, as previously written:</w:t>
      </w:r>
      <w:r>
        <w:rPr>
          <w:b w:val="0"/>
          <w:i w:val="0"/>
        </w:rPr>
        <w:t xml:space="preserve"> §2.4's grading rule stated without exception, while </w:t>
      </w:r>
      <w:r>
        <w:rPr>
          <w:b w:val="0"/>
          <w:i/>
        </w:rPr>
        <w:t>SGK1</w:t>
      </w:r>
      <w:r>
        <w:rPr>
          <w:b w:val="0"/>
          <w:i w:val="0"/>
        </w:rPr>
        <w:t xml:space="preserve"> is graded from inside its null band.</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The implemented rule for </w:t>
      </w:r>
      <w:r>
        <w:rPr>
          <w:b w:val="0"/>
          <w:i/>
        </w:rPr>
        <w:t>SGK1</w:t>
      </w:r>
      <w:r>
        <w:rPr>
          <w:b w:val="0"/>
          <w:i w:val="0"/>
        </w:rPr>
        <w:t xml:space="preserve"> is asymmetric — </w:t>
      </w:r>
      <w:r>
        <w:rPr>
          <w:rFonts w:ascii="Consolas" w:hAnsi="Consolas"/>
          <w:b w:val="0"/>
          <w:i w:val="0"/>
          <w:sz w:val="18"/>
        </w:rPr>
        <w:t>null_semantics</w:t>
      </w:r>
      <w:r>
        <w:rPr>
          <w:b w:val="0"/>
          <w:i w:val="0"/>
        </w:rPr>
        <w:t xml:space="preserve"> = </w:t>
      </w:r>
      <w:r>
        <w:rPr>
          <w:rFonts w:ascii="Consolas" w:hAnsi="Consolas"/>
          <w:b w:val="0"/>
          <w:i w:val="0"/>
          <w:sz w:val="18"/>
        </w:rPr>
        <w:t>not_outside_up</w:t>
      </w:r>
      <w:r>
        <w:rPr>
          <w:b w:val="0"/>
          <w:i w:val="0"/>
        </w:rPr>
        <w:t xml:space="preserve"> (</w:t>
      </w:r>
      <w:r>
        <w:rPr>
          <w:rFonts w:ascii="Consolas" w:hAnsi="Consolas"/>
          <w:b w:val="0"/>
          <w:i w:val="0"/>
          <w:sz w:val="18"/>
        </w:rPr>
        <w:t>nr4a3-fusion-targets.json</w:t>
      </w:r>
      <w:r>
        <w:rPr>
          <w:b w:val="0"/>
          <w:i w:val="0"/>
        </w:rPr>
        <w:t xml:space="preserve"> → </w:t>
      </w:r>
      <w:r>
        <w:rPr>
          <w:rFonts w:ascii="Consolas" w:hAnsi="Consolas"/>
          <w:b w:val="0"/>
          <w:i w:val="0"/>
          <w:sz w:val="18"/>
        </w:rPr>
        <w:t>controls.checks.prereg_discordance_SGK1</w:t>
      </w:r>
      <w:r>
        <w:rPr>
          <w:b w:val="0"/>
          <w:i w:val="0"/>
        </w:rPr>
        <w:t xml:space="preserve">) — so both of its </w:t>
      </w:r>
      <w:r>
        <w:rPr>
          <w:rFonts w:ascii="Consolas" w:hAnsi="Consolas"/>
          <w:b w:val="0"/>
          <w:i w:val="0"/>
          <w:sz w:val="18"/>
        </w:rPr>
        <w:t>INSIDE_NULL</w:t>
      </w:r>
      <w:r>
        <w:rPr>
          <w:b w:val="0"/>
          <w:i w:val="0"/>
        </w:rPr>
        <w:t xml:space="preserve"> cells are </w:t>
      </w:r>
      <w:r>
        <w:rPr>
          <w:rFonts w:ascii="Consolas" w:hAnsi="Consolas"/>
          <w:b w:val="0"/>
          <w:i w:val="0"/>
          <w:sz w:val="18"/>
        </w:rPr>
        <w:t>graded: true</w:t>
      </w:r>
      <w:r>
        <w:rPr>
          <w:b w:val="0"/>
          <w:i w:val="0"/>
        </w:rPr>
        <w:t xml:space="preserve">. §2.4 now discloses the exception as implemented. ⛔ It is described as scoring that was run, not as an advance declaration: the same block records the previous fixed-threshold rule as </w:t>
      </w:r>
      <w:r>
        <w:rPr>
          <w:rFonts w:ascii="Consolas" w:hAnsi="Consolas"/>
          <w:b w:val="0"/>
          <w:i w:val="0"/>
          <w:sz w:val="18"/>
        </w:rPr>
        <w:t>SUPERSEDED, RETAINED</w:t>
      </w:r>
      <w:r>
        <w:rPr>
          <w:b w:val="0"/>
          <w:i w:val="0"/>
        </w:rPr>
        <w:t>. The preregistration text is unchanged and no grade moved.</w:t>
      </w:r>
    </w:p>
    <w:p>
      <w:pPr>
        <w:keepNext/>
      </w:pPr>
      <w:r>
        <w:rPr>
          <w:b/>
          <w:i w:val="0"/>
        </w:rPr>
        <w:t>Historical record 22</w:t>
      </w:r>
    </w:p>
    <w:p>
      <w:pPr>
        <w:keepNext/>
      </w:pPr>
      <w:r>
        <w:rPr>
          <w:b/>
          <w:i w:val="0"/>
        </w:rPr>
        <w:t>claim, as previously written:</w:t>
      </w:r>
      <w:r>
        <w:rPr>
          <w:b w:val="0"/>
          <w:i w:val="0"/>
        </w:rPr>
        <w:t xml:space="preserve"> The occupancy background panel printed as </w:t>
      </w:r>
      <w:r>
        <w:rPr>
          <w:b/>
          <w:i w:val="0"/>
        </w:rPr>
        <w:t>"198 genes"</w:t>
      </w:r>
      <w:r>
        <w:rPr>
          <w:b w:val="0"/>
          <w:i w:val="0"/>
        </w:rPr>
        <w:t xml:space="preserve"> everywhere (§2.6, §3.11, Table 9, Figure 4 and the code table).</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The panel size is a property of the genome build a peak set was processed on, and the artifact records both: </w:t>
      </w:r>
      <w:r>
        <w:rPr>
          <w:rFonts w:ascii="Consolas" w:hAnsi="Consolas"/>
          <w:b w:val="0"/>
          <w:i w:val="0"/>
          <w:sz w:val="18"/>
        </w:rPr>
        <w:t>nr4a3-fusion-targets-occupancy.json</w:t>
      </w:r>
      <w:r>
        <w:rPr>
          <w:b w:val="0"/>
          <w:i w:val="0"/>
        </w:rPr>
        <w:t xml:space="preserve"> → </w:t>
      </w:r>
      <w:r>
        <w:rPr>
          <w:rFonts w:ascii="Consolas" w:hAnsi="Consolas"/>
          <w:b w:val="0"/>
          <w:i w:val="0"/>
          <w:sz w:val="18"/>
        </w:rPr>
        <w:t>per_peakset.*.panel.n_genes</w:t>
      </w:r>
      <w:r>
        <w:rPr>
          <w:b w:val="0"/>
          <w:i w:val="0"/>
        </w:rPr>
        <w:t xml:space="preserve"> is </w:t>
      </w:r>
      <w:r>
        <w:rPr>
          <w:b/>
          <w:i w:val="0"/>
        </w:rPr>
        <w:t>198 on hg38 and 200 on hg19</w:t>
      </w:r>
      <w:r>
        <w:rPr>
          <w:b w:val="0"/>
          <w:i w:val="0"/>
        </w:rPr>
        <w:t xml:space="preserve">. Four of the eight experiments named in Supplementary Table S14 — every Haller (ZENODO) row — are hg19 and were therefore calibrated against </w:t>
      </w:r>
      <w:r>
        <w:rPr>
          <w:b/>
          <w:i w:val="0"/>
        </w:rPr>
        <w:t>200</w:t>
      </w:r>
      <w:r>
        <w:rPr>
          <w:b w:val="0"/>
          <w:i w:val="0"/>
        </w:rPr>
        <w:t xml:space="preserve">, not 198, so a single figure quoted over the whole table did not match the artifact for half of it. Each site now states the per-build panel and says which rows it applies to. </w:t>
      </w:r>
      <w:r>
        <w:rPr>
          <w:b/>
          <w:i w:val="0"/>
        </w:rPr>
        <w:t xml:space="preserve">No peak count, panel fraction, empirical </w:t>
      </w:r>
      <w:r>
        <w:rPr>
          <w:b/>
          <w:i/>
        </w:rPr>
        <w:t>p</w:t>
      </w:r>
      <w:r>
        <w:rPr>
          <w:b/>
          <w:i w:val="0"/>
        </w:rPr>
        <w:t>, hit count or binomial figure changed</w:t>
      </w:r>
      <w:r>
        <w:rPr>
          <w:b w:val="0"/>
          <w:i w:val="0"/>
        </w:rPr>
        <w:t>: every value was already computed against its own build's panel. The 198-window background panel of the §3.10 motif scan is a different panel and is unaffected.</w:t>
      </w:r>
    </w:p>
    <w:p>
      <w:pPr>
        <w:keepNext/>
      </w:pPr>
      <w:r>
        <w:rPr>
          <w:b/>
          <w:i w:val="0"/>
        </w:rPr>
        <w:t>Historical record 23</w:t>
      </w:r>
    </w:p>
    <w:p>
      <w:pPr>
        <w:keepNext/>
      </w:pPr>
      <w:r>
        <w:rPr>
          <w:b/>
          <w:i w:val="0"/>
        </w:rPr>
        <w:t>claim, as previously written:</w:t>
      </w:r>
      <w:r>
        <w:rPr>
          <w:b w:val="0"/>
          <w:i w:val="0"/>
        </w:rPr>
        <w:t xml:space="preserve"> §3.11 and §3.12: "</w:t>
      </w:r>
      <w:r>
        <w:rPr>
          <w:b/>
          <w:i w:val="0"/>
        </w:rPr>
        <w:t>no class-A gene exceeds its background panel in any of these NR4A peak sets</w:t>
      </w:r>
      <w:r>
        <w:rPr>
          <w:b w:val="0"/>
          <w:i w:val="0"/>
        </w:rPr>
        <w:t>", stated flat.</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Read literally that contradicted the same table: </w:t>
      </w:r>
      <w:r>
        <w:rPr>
          <w:b w:val="0"/>
          <w:i/>
        </w:rPr>
        <w:t>ENO3</w:t>
      </w:r>
      <w:r>
        <w:rPr>
          <w:b w:val="0"/>
          <w:i w:val="0"/>
        </w:rPr>
        <w:t xml:space="preserve"> is nominally 0.035 in the normal parotid gland and 0.0498 in </w:t>
      </w:r>
      <w:r>
        <w:rPr>
          <w:rFonts w:ascii="Consolas" w:hAnsi="Consolas"/>
          <w:b w:val="0"/>
          <w:i w:val="0"/>
          <w:sz w:val="18"/>
        </w:rPr>
        <w:t>SRX1653203</w:t>
      </w:r>
      <w:r>
        <w:rPr>
          <w:b w:val="0"/>
          <w:i w:val="0"/>
        </w:rPr>
        <w:t xml:space="preserve"> on hg19. The claim was always a statement over the twelve informative experiments together — two hits in 36 tests, binomial p 0.54, neither surviving correction, which is how Figure 4's caption already stated it — and both sites now carry that qualifier. No value moved.</w:t>
      </w:r>
    </w:p>
    <w:p>
      <w:pPr>
        <w:keepNext/>
      </w:pPr>
      <w:r>
        <w:rPr>
          <w:b/>
          <w:i w:val="0"/>
        </w:rPr>
        <w:t>Historical record 24</w:t>
      </w:r>
    </w:p>
    <w:p>
      <w:pPr>
        <w:keepNext/>
      </w:pPr>
      <w:r>
        <w:rPr>
          <w:b/>
          <w:i w:val="0"/>
        </w:rPr>
        <w:t>claim, as previously written:</w:t>
      </w:r>
      <w:r>
        <w:rPr>
          <w:b w:val="0"/>
          <w:i w:val="0"/>
        </w:rPr>
        <w:t xml:space="preserve"> §3.11: "</w:t>
      </w:r>
      <w:r>
        <w:rPr>
          <w:b/>
          <w:i/>
        </w:rPr>
        <w:t>SEMA3C</w:t>
      </w:r>
      <w:r>
        <w:rPr>
          <w:b/>
          <w:i w:val="0"/>
        </w:rPr>
        <w:t xml:space="preserve"> carries at most one peak in one experiment</w:t>
      </w:r>
      <w:r>
        <w:rPr>
          <w:b w:val="0"/>
          <w:i w:val="0"/>
        </w:rPr>
        <w:t>".</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It carries one promoter-window peak in </w:t>
      </w:r>
      <w:r>
        <w:rPr>
          <w:b/>
          <w:i w:val="0"/>
        </w:rPr>
        <w:t>four</w:t>
      </w:r>
      <w:r>
        <w:rPr>
          <w:b w:val="0"/>
          <w:i w:val="0"/>
        </w:rPr>
        <w:t xml:space="preserve"> experiments — ReMap2022, both Kasumi-1 NR4A1 experiments and AciCC-1 — and none in the rest; "at most one … in one experiment" read as a count of experiments rather than a ceiling per experiment. The sentence now says at most one in </w:t>
      </w:r>
      <w:r>
        <w:rPr>
          <w:b/>
          <w:i w:val="0"/>
        </w:rPr>
        <w:t>any</w:t>
      </w:r>
      <w:r>
        <w:rPr>
          <w:b w:val="0"/>
          <w:i w:val="0"/>
        </w:rPr>
        <w:t xml:space="preserve"> experiment and names the four. The counts in Supplementary Table S14 are unchanged and the reading is unchanged.</w:t>
      </w:r>
    </w:p>
    <w:p>
      <w:pPr>
        <w:keepNext/>
      </w:pPr>
      <w:r>
        <w:rPr>
          <w:b/>
          <w:i w:val="0"/>
        </w:rPr>
        <w:t>Historical record 25</w:t>
      </w:r>
    </w:p>
    <w:p>
      <w:pPr>
        <w:keepNext/>
      </w:pPr>
      <w:r>
        <w:rPr>
          <w:b/>
          <w:i w:val="0"/>
        </w:rPr>
        <w:t>claim, as previously written:</w:t>
      </w:r>
      <w:r>
        <w:rPr>
          <w:b w:val="0"/>
          <w:i w:val="0"/>
        </w:rPr>
        <w:t xml:space="preserve"> "Ethics approval and consent: </w:t>
      </w:r>
      <w:r>
        <w:rPr>
          <w:b/>
          <w:i w:val="0"/>
        </w:rPr>
        <w:t>Not required.</w:t>
      </w:r>
      <w:r>
        <w:rPr>
          <w:b w:val="0"/>
          <w:i w:val="0"/>
        </w:rPr>
        <w:t xml:space="preserve"> … only publicly available, de-identified gene-expression deposits … </w:t>
      </w:r>
      <w:r>
        <w:rPr>
          <w:b/>
          <w:i w:val="0"/>
        </w:rPr>
        <w:t>no individual is identifiable</w:t>
      </w:r>
      <w:r>
        <w:rPr>
          <w:b w:val="0"/>
          <w:i w:val="0"/>
        </w:rPr>
        <w:t xml:space="preserve"> from anything reported here."</w:t>
      </w:r>
    </w:p>
    <w:p>
      <w:pPr>
        <w:keepNext/>
      </w:pPr>
      <w:r>
        <w:rPr>
          <w:b/>
          <w:i w:val="0"/>
        </w:rPr>
        <w:t>status:</w:t>
      </w:r>
      <w:r>
        <w:rPr>
          <w:b w:val="0"/>
          <w:i w:val="0"/>
        </w:rPr>
        <w:t xml:space="preserve"> </w:t>
      </w:r>
      <w:r>
        <w:rPr>
          <w:b/>
          <w:i w:val="0"/>
        </w:rPr>
        <w:t>corrected 2026-09-08; refined 2026-09-09</w:t>
      </w:r>
    </w:p>
    <w:p>
      <w:r>
        <w:rPr>
          <w:b/>
          <w:i w:val="0"/>
        </w:rPr>
        <w:t>what replaced it:</w:t>
      </w:r>
      <w:r>
        <w:rPr>
          <w:b w:val="0"/>
          <w:i w:val="0"/>
        </w:rPr>
        <w:t xml:space="preserve"> The earlier claims of an ethics determination, de-identification and non-identifiability were not established by this analysis. The section now describes a secondary analysis of public repository data, with no new recruitment, specimen collection or intervention reported, and makes no claim of ethics approval, exemption or a consent waiver. </w:t>
      </w:r>
      <w:r>
        <w:rPr>
          <w:b/>
          <w:i w:val="0"/>
        </w:rPr>
        <w:t>Refined 9 September 2026:</w:t>
      </w:r>
      <w:r>
        <w:rPr>
          <w:b w:val="0"/>
          <w:i w:val="0"/>
        </w:rPr>
        <w:t xml:space="preserve"> the current explanation is narrowed without assertions about repository-wide terms, original study approvals or the author's approval-seeking history.</w:t>
      </w:r>
    </w:p>
    <w:p>
      <w:pPr>
        <w:pStyle w:val="Heading1"/>
      </w:pPr>
      <w:r>
        <w:rPr>
          <w:b w:val="0"/>
          <w:i w:val="0"/>
        </w:rPr>
        <w:t>Appendix B · What would change this paper's conclusions</w:t>
      </w:r>
    </w:p>
    <w:p>
      <w:r>
        <w:rPr>
          <w:b w:val="0"/>
          <w:i w:val="0"/>
        </w:rPr>
        <w:t>This is the current follow-up table. It separates missing experiments from analyses already completed in this working manuscript. Historical corrections remain in Appendix A.</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3543"/>
        <w:gridCol w:w="5641"/>
      </w:tblGrid>
      <w:tr>
        <w:trPr>
          <w:cantSplit/>
          <w:tblHeader/>
        </w:trPr>
        <w:tc>
          <w:tcPr>
            <w:tcW w:type="dxa" w:w="3543"/>
            <w:tcMar>
              <w:top w:w="80" w:type="dxa"/>
              <w:left w:w="80" w:type="dxa"/>
              <w:bottom w:w="80" w:type="dxa"/>
              <w:right w:w="80" w:type="dxa"/>
            </w:tcMar>
          </w:tcPr>
          <w:p>
            <w:pPr>
              <w:keepNext/>
              <w:spacing w:after="60" w:line="240" w:lineRule="auto"/>
            </w:pPr>
            <w:r>
              <w:rPr>
                <w:b/>
                <w:i w:val="0"/>
                <w:sz w:val="19"/>
              </w:rPr>
              <w:t>observation</w:t>
            </w:r>
          </w:p>
        </w:tc>
        <w:tc>
          <w:tcPr>
            <w:tcW w:type="dxa" w:w="5641"/>
            <w:tcMar>
              <w:top w:w="80" w:type="dxa"/>
              <w:left w:w="80" w:type="dxa"/>
              <w:bottom w:w="80" w:type="dxa"/>
              <w:right w:w="80" w:type="dxa"/>
            </w:tcMar>
          </w:tcPr>
          <w:p>
            <w:pPr>
              <w:keepNext/>
              <w:spacing w:after="60" w:line="240" w:lineRule="auto"/>
            </w:pPr>
            <w:r>
              <w:rPr>
                <w:b/>
                <w:i w:val="0"/>
                <w:sz w:val="19"/>
              </w:rPr>
              <w:t>implication and current status</w:t>
            </w:r>
          </w:p>
        </w:tc>
      </w:tr>
      <w:tr>
        <w:trPr>
          <w:cantSplit/>
        </w:trPr>
        <w:tc>
          <w:tcPr>
            <w:tcW w:type="dxa" w:w="3543"/>
            <w:tcMar>
              <w:top w:w="80" w:type="dxa"/>
              <w:left w:w="80" w:type="dxa"/>
              <w:bottom w:w="80" w:type="dxa"/>
              <w:right w:w="80" w:type="dxa"/>
            </w:tcMar>
          </w:tcPr>
          <w:p>
            <w:pPr>
              <w:spacing w:after="60" w:line="240" w:lineRule="auto"/>
            </w:pPr>
            <w:r>
              <w:rPr>
                <w:b w:val="0"/>
                <w:i w:val="0"/>
                <w:sz w:val="19"/>
              </w:rPr>
              <w:t xml:space="preserve">An informative EWSR1::NR4A3 binding experiment in EMC showing no peak near </w:t>
            </w:r>
            <w:r>
              <w:rPr>
                <w:b w:val="0"/>
                <w:i/>
                <w:sz w:val="19"/>
              </w:rPr>
              <w:t>ENO3</w:t>
            </w:r>
          </w:p>
        </w:tc>
        <w:tc>
          <w:tcPr>
            <w:tcW w:type="dxa" w:w="5641"/>
            <w:tcMar>
              <w:top w:w="80" w:type="dxa"/>
              <w:left w:w="80" w:type="dxa"/>
              <w:bottom w:w="80" w:type="dxa"/>
              <w:right w:w="80" w:type="dxa"/>
            </w:tcMar>
          </w:tcPr>
          <w:p>
            <w:pPr>
              <w:spacing w:after="60" w:line="240" w:lineRule="auto"/>
            </w:pPr>
            <w:r>
              <w:rPr>
                <w:b w:val="0"/>
                <w:i w:val="0"/>
                <w:sz w:val="19"/>
              </w:rPr>
              <w:t>Would weaken evidence for binding within the assayed window and conditions. It would not rule out binding elsewhere, under other conditions, or indirect regulation by the fusion.</w:t>
            </w:r>
          </w:p>
        </w:tc>
      </w:tr>
      <w:tr>
        <w:trPr>
          <w:cantSplit/>
        </w:trPr>
        <w:tc>
          <w:tcPr>
            <w:tcW w:type="dxa" w:w="3543"/>
            <w:tcMar>
              <w:top w:w="80" w:type="dxa"/>
              <w:left w:w="80" w:type="dxa"/>
              <w:bottom w:w="80" w:type="dxa"/>
              <w:right w:w="80" w:type="dxa"/>
            </w:tcMar>
          </w:tcPr>
          <w:p>
            <w:pPr>
              <w:spacing w:after="60" w:line="240" w:lineRule="auto"/>
            </w:pPr>
            <w:r>
              <w:rPr>
                <w:b w:val="0"/>
                <w:i w:val="0"/>
                <w:sz w:val="19"/>
              </w:rPr>
              <w:t xml:space="preserve">An EWSR1::NR4A3 binding experiment in EMC showing a peak near </w:t>
            </w:r>
            <w:r>
              <w:rPr>
                <w:b w:val="0"/>
                <w:i/>
                <w:sz w:val="19"/>
              </w:rPr>
              <w:t>SEMA3C</w:t>
            </w:r>
          </w:p>
        </w:tc>
        <w:tc>
          <w:tcPr>
            <w:tcW w:type="dxa" w:w="5641"/>
            <w:tcMar>
              <w:top w:w="80" w:type="dxa"/>
              <w:left w:w="80" w:type="dxa"/>
              <w:bottom w:w="80" w:type="dxa"/>
              <w:right w:w="80" w:type="dxa"/>
            </w:tcMar>
          </w:tcPr>
          <w:p>
            <w:pPr>
              <w:spacing w:after="60" w:line="240" w:lineRule="auto"/>
            </w:pPr>
            <w:r>
              <w:rPr>
                <w:b w:val="0"/>
                <w:i w:val="0"/>
                <w:sz w:val="19"/>
              </w:rPr>
              <w:t>Would supply binding evidence consistent with direct regulation despite the expression comparisons. Binding alone would not establish that the fusion causes the expression change; a controlled perturbation would address that separate question.</w:t>
            </w:r>
          </w:p>
        </w:tc>
      </w:tr>
      <w:tr>
        <w:trPr>
          <w:cantSplit/>
        </w:trPr>
        <w:tc>
          <w:tcPr>
            <w:tcW w:type="dxa" w:w="3543"/>
            <w:tcMar>
              <w:top w:w="80" w:type="dxa"/>
              <w:left w:w="80" w:type="dxa"/>
              <w:bottom w:w="80" w:type="dxa"/>
              <w:right w:w="80" w:type="dxa"/>
            </w:tcMar>
          </w:tcPr>
          <w:p>
            <w:pPr>
              <w:spacing w:after="60" w:line="240" w:lineRule="auto"/>
            </w:pPr>
            <w:r>
              <w:rPr>
                <w:b w:val="0"/>
                <w:i w:val="0"/>
                <w:sz w:val="19"/>
              </w:rPr>
              <w:t>A fusion-positive EMC model with fusion knockdown and RNA-seq</w:t>
            </w:r>
          </w:p>
        </w:tc>
        <w:tc>
          <w:tcPr>
            <w:tcW w:type="dxa" w:w="5641"/>
            <w:tcMar>
              <w:top w:w="80" w:type="dxa"/>
              <w:left w:w="80" w:type="dxa"/>
              <w:bottom w:w="80" w:type="dxa"/>
              <w:right w:w="80" w:type="dxa"/>
            </w:tcMar>
          </w:tcPr>
          <w:p>
            <w:pPr>
              <w:spacing w:after="60" w:line="240" w:lineRule="auto"/>
            </w:pPr>
            <w:r>
              <w:rPr>
                <w:b w:val="0"/>
                <w:i w:val="0"/>
                <w:sz w:val="19"/>
              </w:rPr>
              <w:t>Would test whether expression depends on the fusion and could change the ordering. Controls and the distinction between direct and indirect effects remain necessary.</w:t>
            </w:r>
          </w:p>
        </w:tc>
      </w:tr>
      <w:tr>
        <w:trPr>
          <w:cantSplit/>
        </w:trPr>
        <w:tc>
          <w:tcPr>
            <w:tcW w:type="dxa" w:w="3543"/>
            <w:tcMar>
              <w:top w:w="80" w:type="dxa"/>
              <w:left w:w="80" w:type="dxa"/>
              <w:bottom w:w="80" w:type="dxa"/>
              <w:right w:w="80" w:type="dxa"/>
            </w:tcMar>
          </w:tcPr>
          <w:p>
            <w:pPr>
              <w:spacing w:after="60" w:line="240" w:lineRule="auto"/>
            </w:pPr>
            <w:r>
              <w:rPr>
                <w:b w:val="0"/>
                <w:i w:val="0"/>
                <w:sz w:val="19"/>
              </w:rPr>
              <w:t>An EMC expression series recording fusion type per sample</w:t>
            </w:r>
          </w:p>
        </w:tc>
        <w:tc>
          <w:tcPr>
            <w:tcW w:type="dxa" w:w="5641"/>
            <w:tcMar>
              <w:top w:w="80" w:type="dxa"/>
              <w:left w:w="80" w:type="dxa"/>
              <w:bottom w:w="80" w:type="dxa"/>
              <w:right w:w="80" w:type="dxa"/>
            </w:tcMar>
          </w:tcPr>
          <w:p>
            <w:pPr>
              <w:spacing w:after="60" w:line="240" w:lineRule="auto"/>
            </w:pPr>
            <w:r>
              <w:t>Would assess whether SEMA3C expression differs by fusion type within EMC and whether that heterogeneity contributes to the observed contrasts. It would not by itself explain differences among comparator histologies.</w:t>
            </w:r>
          </w:p>
        </w:tc>
      </w:tr>
      <w:tr>
        <w:trPr>
          <w:cantSplit/>
        </w:trPr>
        <w:tc>
          <w:tcPr>
            <w:tcW w:type="dxa" w:w="3543"/>
            <w:tcMar>
              <w:top w:w="80" w:type="dxa"/>
              <w:left w:w="80" w:type="dxa"/>
              <w:bottom w:w="80" w:type="dxa"/>
              <w:right w:w="80" w:type="dxa"/>
            </w:tcMar>
          </w:tcPr>
          <w:p>
            <w:pPr>
              <w:spacing w:after="60" w:line="240" w:lineRule="auto"/>
            </w:pPr>
            <w:r>
              <w:rPr>
                <w:b w:val="0"/>
                <w:i w:val="0"/>
                <w:sz w:val="19"/>
              </w:rPr>
              <w:t>A soft-tissue normal comparator arm</w:t>
            </w:r>
          </w:p>
        </w:tc>
        <w:tc>
          <w:tcPr>
            <w:tcW w:type="dxa" w:w="5641"/>
            <w:tcMar>
              <w:top w:w="80" w:type="dxa"/>
              <w:left w:w="80" w:type="dxa"/>
              <w:bottom w:w="80" w:type="dxa"/>
              <w:right w:w="80" w:type="dxa"/>
            </w:tcMar>
          </w:tcPr>
          <w:p>
            <w:pPr>
              <w:spacing w:after="60" w:line="240" w:lineRule="auto"/>
            </w:pPr>
            <w:r>
              <w:rPr>
                <w:b w:val="0"/>
                <w:i w:val="0"/>
                <w:sz w:val="19"/>
              </w:rPr>
              <w:t>Would address the cell-of-origin explanation, confound (a). A tissue comparison alone would not identify EMC's cell of origin or eliminate every lineage-related explanation.</w:t>
            </w:r>
          </w:p>
        </w:tc>
      </w:tr>
      <w:tr>
        <w:trPr>
          <w:cantSplit/>
        </w:trPr>
        <w:tc>
          <w:tcPr>
            <w:tcW w:type="dxa" w:w="3543"/>
            <w:tcMar>
              <w:top w:w="80" w:type="dxa"/>
              <w:left w:w="80" w:type="dxa"/>
              <w:bottom w:w="80" w:type="dxa"/>
              <w:right w:w="80" w:type="dxa"/>
            </w:tcMar>
          </w:tcPr>
          <w:p>
            <w:pPr>
              <w:spacing w:after="60" w:line="240" w:lineRule="auto"/>
            </w:pPr>
            <w:r>
              <w:rPr>
                <w:b w:val="0"/>
                <w:i w:val="0"/>
                <w:sz w:val="19"/>
              </w:rPr>
              <w:t>Deep native NR4A3 ChIP-seq in human tissue</w:t>
            </w:r>
          </w:p>
        </w:tc>
        <w:tc>
          <w:tcPr>
            <w:tcW w:type="dxa" w:w="5641"/>
            <w:tcMar>
              <w:top w:w="80" w:type="dxa"/>
              <w:left w:w="80" w:type="dxa"/>
              <w:bottom w:w="80" w:type="dxa"/>
              <w:right w:w="80" w:type="dxa"/>
            </w:tcMar>
          </w:tcPr>
          <w:p>
            <w:pPr>
              <w:spacing w:after="60" w:line="240" w:lineRule="auto"/>
            </w:pPr>
            <w:r>
              <w:rPr>
                <w:b w:val="0"/>
                <w:i w:val="0"/>
                <w:sz w:val="19"/>
              </w:rPr>
              <w:t>Already analysed: Haller's three acinic cell carcinomas and normal parotid sample provide the four deep Supplementary Table S14 rows. They test the surrogate evidence in another disease; they do not supply fusion occupancy in EMC.</w:t>
            </w:r>
          </w:p>
        </w:tc>
      </w:tr>
      <w:tr>
        <w:trPr>
          <w:cantSplit/>
        </w:trPr>
        <w:tc>
          <w:tcPr>
            <w:tcW w:type="dxa" w:w="3543"/>
            <w:tcMar>
              <w:top w:w="80" w:type="dxa"/>
              <w:left w:w="80" w:type="dxa"/>
              <w:bottom w:w="80" w:type="dxa"/>
              <w:right w:w="80" w:type="dxa"/>
            </w:tcMar>
          </w:tcPr>
          <w:p>
            <w:pPr>
              <w:spacing w:after="60" w:line="240" w:lineRule="auto"/>
            </w:pPr>
            <w:r>
              <w:rPr>
                <w:b w:val="0"/>
                <w:i w:val="0"/>
                <w:sz w:val="19"/>
              </w:rPr>
              <w:t>A broader per-arm reanalysis of GSE243553's barcode→variant files against a background panel</w:t>
            </w:r>
          </w:p>
        </w:tc>
        <w:tc>
          <w:tcPr>
            <w:tcW w:type="dxa" w:w="5641"/>
            <w:tcMar>
              <w:top w:w="80" w:type="dxa"/>
              <w:left w:w="80" w:type="dxa"/>
              <w:bottom w:w="80" w:type="dxa"/>
              <w:right w:w="80" w:type="dxa"/>
            </w:tcMar>
          </w:tcPr>
          <w:p>
            <w:pPr>
              <w:spacing w:after="60" w:line="240" w:lineRule="auto"/>
            </w:pPr>
            <w:r>
              <w:rPr>
                <w:b w:val="0"/>
                <w:i w:val="0"/>
                <w:sz w:val="19"/>
              </w:rPr>
              <w:t xml:space="preserve">Remains distinct from the completed targeted </w:t>
            </w:r>
            <w:r>
              <w:rPr>
                <w:b w:val="0"/>
                <w:i/>
                <w:sz w:val="19"/>
              </w:rPr>
              <w:t>ENO3</w:t>
            </w:r>
            <w:r>
              <w:rPr>
                <w:b w:val="0"/>
                <w:i w:val="0"/>
                <w:sz w:val="19"/>
              </w:rPr>
              <w:t xml:space="preserve"> accessibility comparison (§3.10). That four-site comparison did not exceed the geometry-preserving null (p = 0.08). A broader analysis would still concern accessibility in HEK293T, not fusion binding or causation in EMC.</w:t>
            </w:r>
          </w:p>
        </w:tc>
      </w:tr>
      <w:tr>
        <w:trPr>
          <w:cantSplit/>
        </w:trPr>
        <w:tc>
          <w:tcPr>
            <w:tcW w:type="dxa" w:w="3543"/>
            <w:tcMar>
              <w:top w:w="80" w:type="dxa"/>
              <w:left w:w="80" w:type="dxa"/>
              <w:bottom w:w="80" w:type="dxa"/>
              <w:right w:w="80" w:type="dxa"/>
            </w:tcMar>
          </w:tcPr>
          <w:p>
            <w:pPr>
              <w:spacing w:after="60" w:line="240" w:lineRule="auto"/>
            </w:pPr>
            <w:r>
              <w:rPr>
                <w:b w:val="0"/>
                <w:i w:val="0"/>
                <w:sz w:val="19"/>
              </w:rPr>
              <w:t>A chromatin experiment deposited on EMC material under an indexed archive label</w:t>
            </w:r>
          </w:p>
        </w:tc>
        <w:tc>
          <w:tcPr>
            <w:tcW w:type="dxa" w:w="5641"/>
            <w:tcMar>
              <w:top w:w="80" w:type="dxa"/>
              <w:left w:w="80" w:type="dxa"/>
              <w:bottom w:w="80" w:type="dxa"/>
              <w:right w:w="80" w:type="dxa"/>
            </w:tcMar>
          </w:tcPr>
          <w:p>
            <w:pPr>
              <w:spacing w:after="60" w:line="240" w:lineRule="auto"/>
            </w:pPr>
            <w:r>
              <w:rPr>
                <w:b w:val="0"/>
                <w:i w:val="0"/>
                <w:sz w:val="19"/>
              </w:rPr>
              <w:t>Would update the bounded retrieval result in §3.11. Its relevance to the mechanism would depend on whether it measured fusion binding or another chromatin property. The current search result is not proof that no unindexed experiment exists.</w:t>
            </w:r>
          </w:p>
        </w:tc>
      </w:tr>
    </w:tbl>
    <w:sectPr w:rsidR="00FC693F" w:rsidRPr="0006063C" w:rsidSect="00034616">
      <w:footerReference w:type="default" r:id="rId9"/>
      <w:pgSz w:w="11906" w:h="16838"/>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76" w:lineRule="auto"/>
      <w:outlineLvl w:val="0"/>
    </w:pPr>
    <w:rPr>
      <w:rFonts w:asciiTheme="majorHAnsi" w:eastAsiaTheme="majorEastAsia" w:hAnsiTheme="majorHAnsi" w:cstheme="majorBidi" w:ascii="Times New Roman" w:hAnsi="Times New Roman"/>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80" w:after="120" w:line="276"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120" w:line="276" w:lineRule="auto"/>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2026-09-18T16:14:18Z</dcterms:modified>
  <cp:category/>
</cp:coreProperties>
</file>