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distinguishes the preserved original analysis, the expanded same-source comparison and the new public-source characterization. The original protocols and computations remain available in the Research Square version 1 archive. New calculations and metadata corrections are supplied with this revision; the old archive is not presented as containing them.</w:t>
      </w:r>
    </w:p>
    <w:p>
      <w:pPr>
        <w:pStyle w:val="Heading1"/>
      </w:pPr>
      <w:r>
        <w:t>Scope and chronology</w:t>
      </w:r>
    </w:p>
    <w:p>
      <w:r>
        <w:rPr>
          <w:b w:val="0"/>
        </w:rPr>
        <w:t>The original fixed panel and comparator rule preceded inspection of target values in the Hofvander cohort. The primary types were MLPS, LGFMS and synovial sarcoma, with separate MFS, DFSP, SFT and desmoid contexts. The September 19 extension broadened the descriptive atlas and malignant-category reference after those results were known. A dated amendment made the all-specimen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nine observed CSPG4 values in increasing order are 10.14, 12.77, 41.41, 48.92, 54.18, 58.20, 63.98, 90.14 and 207.08 TPM.</w:t>
      </w:r>
    </w:p>
    <w:p>
      <w:pPr>
        <w:pStyle w:val="Heading1"/>
      </w:pPr>
      <w:r>
        <w:t>Original panel rule and retained adverse checks</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We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we do not relabel it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We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Original panel effects and all deletion results remain in the historical-analysis subfolder and the original public archive.</w:t>
      </w:r>
    </w:p>
    <w:p>
      <w:r>
        <w:rPr>
          <w:b w:val="0"/>
        </w:rPr>
        <w:t>The original reproducibility archive has SHA256 56e089a6b39b9d5d5140a4185987778803359ab1154d26beb882d6e6197f3ea6. Its original-source checks and offline replay are historical accepted evidence for those exact inputs; they were not repeated to validate the new data. 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59.095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 These contexts remain visible regardless of whether they weaken an EMC-specific interpretation.</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