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that parent is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recommendations[14]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only before the hits are counted by gene: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 but six gene loci against five.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counts every position of GRCh38, most of it never transcribed, so the transcriptome contrast is not a difference the whole genome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that parent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at the ten-base-pair criterion — two pairing no wild-type parent through the gap at any length, the third at eight base pairs against wild-type </w:t>
      </w:r>
      <w:r>
        <w:rPr>
          <w:rStyle w:val="Emphasis"/>
        </w:rPr>
        <w:t>NR4A3</w:t>
      </w:r>
      <w:r>
        <w:rPr/>
        <w:t xml:space="preserve">, below the criterion rather than absent. None is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that parent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those controls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doi:10.5281/zenodo.22182180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The one thing on this page that is not is the test-article pairing in Table 1's caption, which is a literature fact and carries its source there.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218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