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the editor</w:t>
      </w:r>
    </w:p>
    <w:p>
      <w:r>
        <w:rPr>
          <w:b w:val="0"/>
        </w:rPr>
        <w:t>Manuscript CG-D-26-00971</w:t>
      </w:r>
    </w:p>
    <w:p>
      <w:r>
        <w:rPr>
          <w:b w:val="0"/>
        </w:rPr>
        <w:t>CSPG4 RNA across sarcoma types with an expanded comparison of extraskeletal myxoid chondrosarcoma</w:t>
      </w:r>
    </w:p>
    <w:p>
      <w:r>
        <w:rPr>
          <w:b w:val="0"/>
        </w:rPr>
        <w:t>Dear Editor,</w:t>
      </w:r>
    </w:p>
    <w:p>
      <w:r>
        <w:rPr>
          <w:b w:val="0"/>
        </w:rPr>
        <w:t>Thank you for identifying a more suitable format for this descriptive study. I have shortened the manuscript to a Letter focused on the comparative CSPG4 RNA finding in extraskeletal myxoid chondrosarcoma.</w:t>
      </w:r>
    </w:p>
    <w:p>
      <w:r>
        <w:rPr>
          <w:b w:val="0"/>
        </w:rPr>
        <w:t>The revised narrative presents the source-defined comparison, its uncertainty, the all-12 and all-13 specimen sensitivities, the cross-assay LGFMS contrast and the higher-expression GIST and DFSP comparisons. The detailed methods, broader atlas and supporting results are retained in the Supplementary Information and frozen data/code archive. The principal cross-sarcoma figure is retained as Figure 1; the remaining three figures accompany the supplement. The numerical results are unchanged.</w:t>
      </w:r>
    </w:p>
    <w:p>
      <w:r>
        <w:rPr>
          <w:b w:val="0"/>
        </w:rPr>
        <w:t>I agree that the study does not establish malignant-cell localization, CSPG4 protein abundance or functional relevance in EMC. The Letter states these limits in one concluding paragraph and identifies tissue-level protein assessment as the next biological question. It makes no claim of therapeutic suitability or diagnostic specificity.</w:t>
      </w:r>
    </w:p>
    <w:p>
      <w:r>
        <w:rPr>
          <w:b w:val="0"/>
        </w:rPr>
        <w:t>Thank you for considering the revised manuscript as a Letter.</w:t>
      </w:r>
    </w:p>
    <w:p>
      <w:r>
        <w:rPr>
          <w:b w:val="0"/>
        </w:rPr>
        <w:t>Sincerely,</w:t>
      </w:r>
    </w:p>
    <w:p>
      <w:r>
        <w:rPr>
          <w:b w:val="0"/>
        </w:rPr>
        <w:t>Tristan D. McRae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sz w:val="18"/>
      </w:rPr>
      <w:t xml:space="preserve">CSPG4 RNA across sarcoma types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Comparative sarcoma RNA study</dc:subject>
  <dc:creator>Tristan D. McRae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