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w:t>
      </w:r>
      <w:r>
        <w:rPr>
          <w:position w:val="7"/>
          <w:sz w:val="17"/>
        </w:rPr>
        <w:t>22</w:t>
      </w:r>
      <w:r>
        <w:rPr/>
        <w:t xml:space="preserve">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§5 specifies, against the wild-type parent §3 identifies as the liability.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w:t>
      </w:r>
      <w:r>
        <w:rPr>
          <w:position w:val="7"/>
          <w:sz w:val="17"/>
        </w:rPr>
        <w:t>22</w:t>
      </w:r>
      <w:r>
        <w:rPr/>
        <w:t xml:space="preserve">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each parent supplies about half of any junction design, which is far outside the mismatch budget of a conventional off-target search, so that search cannot return a parent as a near-match at any threshold it is normally run at. The liability is therefore invisible to the instrument a designer would ordinarily use,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and it favours the reagents named here.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a donor joined to its first coding exon does, and that exon is transcript exon 3, the acceptor this panel is tiled at. On the coding-exon reading, therefore, the two cell models carry the junctions the reagents above span. This is an inference and not a determination: a 5′-untranslated acceptor is reported in this disease at least once, in a </w:t>
      </w:r>
      <w:r>
        <w:rPr>
          <w:rStyle w:val="Emphasis"/>
        </w:rPr>
        <w:t>PGR</w:t>
      </w:r>
      <w:r>
        <w:rPr/>
        <w:t>::</w:t>
      </w:r>
      <w:r>
        <w:rPr>
          <w:rStyle w:val="Emphasis"/>
        </w:rPr>
        <w:t>NR4A3</w:t>
      </w:r>
      <w:r>
        <w:rPr/>
        <w:t xml:space="preserve"> case,</w:t>
      </w:r>
      <w:r>
        <w:rPr>
          <w:position w:val="7"/>
          <w:sz w:val="17"/>
        </w:rPr>
        <w:t>16</w:t>
      </w:r>
      <w:r>
        <w:rPr/>
        <w:t xml:space="preserve"> and the requirement below is unchanged.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The extended report specifies it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which is the search scope the 2025 recommendations ask for.</w:t>
      </w:r>
      <w:r>
        <w:rPr>
          <w:position w:val="7"/>
          <w:sz w:val="17"/>
        </w:rPr>
        <w:t>22</w:t>
      </w:r>
      <w:r>
        <w:rPr/>
        <w:t xml:space="preserve">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for these reagents; only the fusion-versus-parent separation is, and as a floor, because the fusion duplex pairs all ten locked residues where each parent half-duplex pairs five, by construction for every design here.</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Andersson P, SA Burel, H Estrella, et al. (2025). Assessing Hybridization-Dependent Off-Target Risk for Therapeutic Oligonucleotides: Updated Industry Recommendations. Nucleic Acid Ther 35:16–33. </w:t>
      </w:r>
      <w:hyperlink r:id="rId27">
        <w:r>
          <w:rPr>
            <w:rStyle w:val="Hyperlink"/>
          </w:rPr>
          <w:t>doi:10.1089/nat.2024.0072</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hyperlink" Target="https://doi.org/10.1089/nat.2024.0072" TargetMode="Externa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