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the fusion, sparing its parents; none is reported for any </w:t>
      </w:r>
      <w:r>
        <w:rPr>
          <w:rStyle w:val="Emphasis"/>
        </w:rPr>
        <w:t>NR4A3</w:t>
      </w:r>
      <w:r>
        <w:rPr/>
        <w:t xml:space="preserve"> fusion in the literature retrieved here. This work is computational, executing an industry off-target framework's in-silico step; every sequence named is a research reagent not for administration. It sets out what a laboratory needs: two reagents at the most 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and a pre-registrable selectivity threshold. Both come from a panel of 190 junction-spanning 16-mers tiled at 5-6-5 across 38 in-frame junctions: 87 let a mature wild-type parent pair their whole catalytic gap over ten or more contiguous base pairs, 61 against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Also released is the procedure that produced the 190 designs.</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The disease responds poorly to conventional cytotoxic chemotherapy[3], though responses do occur[4], and a tyrosine-kinase inhibitor trialled in it gave disease control more often than response — a reading composed from the review's response categories[3] rather than from a figure stated in the trial report[5].</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have a thirty-five-year lineage, reported against at least six fusion oncogenes: two as antisense oligonucleotides, the rest as RNA-interference agents, one of those from a lentiviral vector rather than an administered oligonucleotide[6-11].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far outside the mismatch budget of a conventional off-target search, which therefore never returns a parent as a near-match. That parent liability is the one this work screens for directly. RNase-H1 does not require the whole duplex, only that the gap be paired. That premise is adopted here rather than established, and its length requirement is stated in a different unit from the criterion this paper screens on. The requirement is reported as a DNA gap of at least six nucleotides, with seven to ten the working range[12];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adopted here rather than retrieved: off-target effects are taken to be seen more often where an oligonucleotide's mismatches fall in its wings than where they fall in its central gap, on which reading a flanking mismatch is the more important one to avoid. An industry working group's 2025 off-target recommendations[13] set five steps, as their abstract states: in-silico identification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 named under Data availability.</w:t>
      </w:r>
    </w:p>
    <w:p>
      <w:pPr>
        <w:pStyle w:val="BodyText"/>
        <w:bidi w:val="0"/>
        <w:rPr/>
      </w:pPr>
      <w:r>
        <w:rPr/>
        <w:t xml:space="preserve">Canonical transcripts for the five partner genes, and for </w:t>
      </w:r>
      <w:r>
        <w:rPr>
          <w:rStyle w:val="Emphasis"/>
        </w:rPr>
        <w:t>NR4A3</w:t>
      </w:r>
      <w:r>
        <w:rPr/>
        <w:t>, were obtained from Ensembl[14]. Junction-spanning 16-mer gapmers were tiled in a 5-6-5 β-D-oxy-locked-nucleic-acid/DNA/β-D-oxy-locked-nucleic-acid geometry[12],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The first aligns against human RefSeq RNA, classifying each near-match by whether the catalytic gap is paired. The second is an exhaustive transcript scan, complete for substitutions within a one-mismatch budget. The third reads the parents' unspliced sequence. The fourth records the longest contiguous duplex any of six wild-type parent transcripts forms through the catalytic gap. The fifth covers every position of GRCh38, mitochondrial sequence included. They cover mature transcript, unspliced precursor, exon-exon junction, non-coding and mitochondrial sequence — a search scope adopted here. A near-match is a transcript window pairing a design at 14 or more of its 16 positions. Each alignment was re-scored on the nearest-neighbour stability of its longest contiguous paired run — the energy-based second stage adopted here — and only separations are reported. A design is liable where a wild-type parent pairs its whole catalytic gap over a contiguous run of ten base pairs or more, ten being adopted rather than measured. Null ensembles were built as scrambles of each design and as chimeras joining the same two parent transcripts at real exon termini, screened identically. Melting temperatures are nearest-neighbour values for an unmodified DNA:RNA hybrid at 250 nM strand[15].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They are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below.</w:t>
      </w:r>
    </w:p>
    <w:p>
      <w:pPr>
        <w:pStyle w:val="BodyText"/>
        <w:bidi w:val="0"/>
        <w:rPr/>
      </w:pPr>
      <w:r>
        <w:rPr/>
        <w:t xml:space="preserve">Both reagents sit close to that ten-base-pair criterion.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so the count is a search result over a database that includes predictions, not a census of expressed transcripts.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β-D-oxy-locked residues — a high locked content against the two to four per wing taken here as usual, so these are not conventional locked-nucleic-acid reagents and their matched-duplex melting temperatures are correspondingly high. That cuts against the screens: a high-affinity chemistry is taken here to retain knockdown at more extensively mismatched sites than a conventional design does,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series[16], the two junctions account for 68.4% of molecularly confirmed cases in a 58-case cohort[17].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above takes the first two.</w:t>
      </w:r>
    </w:p>
    <w:p>
      <w:pPr>
        <w:pStyle w:val="Heading3"/>
        <w:bidi w:val="0"/>
        <w:jc w:val="left"/>
        <w:rPr/>
      </w:pPr>
      <w:r>
        <w:rPr/>
        <w:t>Selection from a panel of 190 designs</w:t>
      </w:r>
    </w:p>
    <w:p>
      <w:pPr>
        <w:pStyle w:val="BodyText"/>
        <w:bidi w:val="0"/>
        <w:rPr/>
      </w:pPr>
      <w:r>
        <w:rPr/>
        <w:t>What this screen establishes is structural rather than statistical, and it does not depend on the cut. The parent liability the Introduction describes is invisible to the instrument a designer would ordinarily use, at any threshold that instrument is normally run at. That is the case for screening it directly, whatever cut is adopted. The ten-base-pair criterion is adopted rather than measured.</w:t>
      </w:r>
    </w:p>
    <w:p>
      <w:pPr>
        <w:pStyle w:val="BodyText"/>
        <w:bidi w:val="0"/>
        <w:rPr/>
      </w:pPr>
      <w:r>
        <w:rPr/>
        <w:t>Two bounds apply to every panel count below. First, seven of the 190 screens never returned, and the alignment screen censors the rest, leaving 47 of 183 assessable at all — so a count of clean designs is a floor over that subset, not a total over the panel. Second, most designs clean at the default search ceiling are not clean at a deeper one.</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w:t>
      </w:r>
    </w:p>
    <w:p>
      <w:pPr>
        <w:pStyle w:val="BodyText"/>
        <w:bidi w:val="0"/>
        <w:rPr/>
      </w:pPr>
      <w:r>
        <w:rPr/>
        <w:t>Lengthening the catalytic gap does not remove this liability, for an arithmetic reason: every base inside the gap comes from the donor or the acceptor exon, so a longer gap buys margin only by conceding parent-paired gap DNA at the design's own seam. Across three geometries the liable count does not fall; the archived deposit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Both readings are properties of the cut.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 As design counts the loose cuts condemn almost everything: 175 of 190 at seven and 181 at six.</w:t>
      </w:r>
    </w:p>
    <w:p>
      <w:pPr>
        <w:pStyle w:val="BodyText"/>
        <w:bidi w:val="0"/>
        <w:rPr/>
      </w:pPr>
      <w:r>
        <w:rPr/>
        <w:t>The comparison against null models does not resolve an excess specific to this disease. Mononucleotide scrambles meet the parent screen at 6.2% against 45.8% for the panel. They are the weakest of the ten nulls screened, and not the dinucleotide-preserving control prescribed below. Chimeras built at real exon termini of the same two transcripts, at junctions almost never reported in a patient, meet it at 40.6%. Each null rate is 38,000 draws with a Wilson 95% interval. The adopted cut does not escape that comparison: at ten the strongest null's 40.6% falls inside the panel's own 95% interval on 45.8%, as at every cut from seven to thirteen but eleven, and the strongest null reaches 91.4% at seven against the panel's 92.1%.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no annotated </w:t>
      </w:r>
      <w:r>
        <w:rPr>
          <w:rStyle w:val="Emphasis"/>
        </w:rPr>
        <w:t>NR4A3</w:t>
      </w:r>
      <w:r>
        <w:rPr/>
        <w:t xml:space="preserve"> transcript is exon 2 the first coding exon,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series[18], and a </w:t>
      </w:r>
      <w:r>
        <w:rPr>
          <w:rStyle w:val="Emphasis"/>
        </w:rPr>
        <w:t>PGR</w:t>
      </w:r>
      <w:r>
        <w:rPr/>
        <w:t>::</w:t>
      </w:r>
      <w:r>
        <w:rPr>
          <w:rStyle w:val="Emphasis"/>
        </w:rPr>
        <w:t>NR4A3</w:t>
      </w:r>
      <w:r>
        <w:rPr/>
        <w:t xml:space="preserve"> case joins exon 2 to the </w:t>
      </w:r>
      <w:r>
        <w:rPr>
          <w:rStyle w:val="Emphasis"/>
        </w:rPr>
        <w:t>NR4A3</w:t>
      </w:r>
      <w:r>
        <w:rPr/>
        <w:t xml:space="preserve"> 5′ untranslated region[19]. Beyond exon 3 the position is the reverse: across the exon-resolved </w:t>
      </w:r>
      <w:r>
        <w:rPr>
          <w:rStyle w:val="Emphasis"/>
        </w:rPr>
        <w:t>NR4A3</w:t>
      </w:r>
      <w:r>
        <w:rPr/>
        <w:t xml:space="preserve"> junctions retrieved here every acceptor is exon 2, exon 3, or a cryptic exon in intron 2[20], none 3′ of exon 3, so nothing is designed there because no patient is reported there.</w:t>
      </w:r>
    </w:p>
    <w:p>
      <w:pPr>
        <w:pStyle w:val="BodyText"/>
        <w:bidi w:val="0"/>
        <w:rPr/>
      </w:pPr>
      <w:r>
        <w:rPr/>
        <w:t>Three are engineered constructs from a published functional study[20], whose exon spans that paper states verbatim; two of them, E-N and T-N*, carry exactly the junctions the reagents above span, so both named reagents have a stated test article. Rebuilding them is the faster route, but a complementary DNA over-expressed in a heterologous background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tumours[21],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factor[1,20].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w:t>
      </w:r>
    </w:p>
    <w:p>
      <w:pPr>
        <w:pStyle w:val="BodyText"/>
        <w:bidi w:val="0"/>
        <w:rPr/>
      </w:pPr>
      <w:r>
        <w:rPr/>
        <w:t xml:space="preserve">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breakpoint of the test article must be established at nucleotide resolution by RNA sequencing before any oligonucleotide is ordered, every design here being specific to the exon pair it was tiled at. Routine diagnosis does not supply the seam, since break-apart </w:t>
      </w:r>
      <w:r>
        <w:rPr>
          <w:rStyle w:val="Emphasis"/>
        </w:rPr>
        <w:t>NR4A3</w:t>
      </w:r>
      <w:r>
        <w:rPr/>
        <w:t xml:space="preserve"> fluorescence in situ hybridisation detects a rearrangement irrespective of partner[3].</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3.9% do so against wild-type </w:t>
      </w:r>
      <w:r>
        <w:rPr>
          <w:rStyle w:val="Emphasis"/>
        </w:rPr>
        <w:t>NR4A3</w:t>
      </w:r>
      <w:r>
        <w:rPr/>
        <w:t>. One unscreened scramble in ten would carry the same predicted parent liability as the reagent it controls for.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tumour[22]. It is specified here for these reagents, with the two screened controls above, which a knockdown assay alone cannot distinguish.</w:t>
      </w:r>
    </w:p>
    <w:p>
      <w:pPr>
        <w:pStyle w:val="BodyText"/>
        <w:bidi w:val="0"/>
        <w:rPr/>
      </w:pPr>
      <w:r>
        <w:rPr/>
        <w:t xml:space="preserve">Selectivity is the ratio of two half-maximal knockdown concentrations: wild-type </w:t>
      </w:r>
      <w:r>
        <w:rPr>
          <w:rStyle w:val="Emphasis"/>
        </w:rPr>
        <w:t>NR4A3</w:t>
      </w:r>
      <w:r>
        <w:rPr/>
        <w:t xml:space="preserve"> over the fusion, from a matched dose-response in the same wells. The cut of 5.0 is adopted as a convention. Comparing the two half-maximal concentrations is the margin assessment of the third step[13]. Its form and the cut are adopted here, not from that source. At an assumed replicate standard deviation of 0.35 on the natural-log scale — like the cut, adopted for pre-registration rather than measured here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Voidness is a property of the realised variance rather than of the design, so a pilot-based gate on the population variance bounds it from one side only. Where a one-sided 95% chi-square bound on the pilot's standard deviation lies at or above the void figure for the count proposed, the decision is a larger replicate count, or no falsification test at all, and never three. The threshold is defined on the acceptor parent alone, so a reagent can clear it while pairing a donor transcript through its whole gap.</w:t>
      </w:r>
    </w:p>
    <w:p>
      <w:pPr>
        <w:pStyle w:val="Heading3"/>
        <w:bidi w:val="0"/>
        <w:jc w:val="left"/>
        <w:rPr/>
      </w:pPr>
      <w:r>
        <w:rPr/>
        <w:t>Interpretation and limits</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 and 35 of the 38 have one clearing the parent screen.</w:t>
      </w:r>
    </w:p>
    <w:p>
      <w:pPr>
        <w:pStyle w:val="BodyText"/>
        <w:bidi w:val="0"/>
        <w:rPr/>
      </w:pPr>
      <w:r>
        <w:rPr/>
        <w:t xml:space="preserve">The constraint is discrimination between the fusion and its parents, and it is not resolved here. A junction design's most plausible wild-type liability is its own parent, in the mature transcript or across a splice junction in precursor RNA. Both are searched before any molecule exists, but not on comparable terms. The mature-transcript screen condemns on a ten-base-pair duplex through the gap; the precursor arm condemns on a hit at up to two mismatches with the gap fully paired. Neither restates the other, and their counts may not be added: a design condemned in both is one design.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above while clearing that reagent — the register hazard noted with the reagents, arriving from a compartment the panel's selection never has to consider.</w:t>
      </w:r>
    </w:p>
    <w:p>
      <w:pPr>
        <w:pStyle w:val="BodyText"/>
        <w:bidi w:val="0"/>
        <w:rPr/>
      </w:pPr>
      <w:r>
        <w:rPr/>
        <w:t xml:space="preserve">The four junction-specificity reports cited here[8-10,23]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itself unsettled, the reported paralogue redundancy and dosage effects pointing in opposite directions; the archived deposit gives that literature and does not resolve it either.</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are long established. What is new here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 The author holds no patent, patent application, equity or consultancy relating to any sequence or method described here.</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and per-design tables are deposited under </w:t>
      </w:r>
      <w:hyperlink r:id="rId3">
        <w:r>
          <w:rPr>
            <w:rStyle w:val="Hyperlink"/>
          </w:rPr>
          <w:t>doi:10.5281/zenodo.22061075</w:t>
        </w:r>
      </w:hyperlink>
      <w:r>
        <w:rPr/>
        <w:t>. That deposit carries every screen's parameters and the complete bounds on each claim, and is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6">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7">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8">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9">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0">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1">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2">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3">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14">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15">
        <w:r>
          <w:rPr>
            <w:rStyle w:val="Hyperlink"/>
          </w:rPr>
          <w:t>doi:10.1089/nat.2024.0072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16">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17">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8">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19">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0">
        <w:r>
          <w:rPr>
            <w:rStyle w:val="Hyperlink"/>
          </w:rPr>
          <w:t>doi:10.3390/ijms19071855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21">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22">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23">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24">
        <w:r>
          <w:rPr>
            <w:rStyle w:val="Hyperlink"/>
          </w:rPr>
          <w:t>doi:10.3390/cancers15123127</w:t>
        </w:r>
      </w:hyperlink>
      <w:r>
        <w:rPr/>
        <w:t xml:space="preserve"> </w:t>
      </w:r>
    </w:p>
    <w:p>
      <w:pPr>
        <w:pStyle w:val="BodyText"/>
        <w:numPr>
          <w:ilvl w:val="0"/>
          <w:numId w:val="1"/>
        </w:numPr>
        <w:tabs>
          <w:tab w:val="clear" w:pos="709"/>
          <w:tab w:val="left" w:pos="709" w:leader="none"/>
        </w:tabs>
        <w:bidi w:val="0"/>
        <w:ind w:hanging="283" w:left="709"/>
        <w:rPr/>
      </w:pPr>
      <w:r>
        <w:rPr/>
        <w:t xml:space="preserve">Lee MS, S An, JY Song, M Sung, K Jung, ES Chang, J Choi, DY Oh, YK Jeon, et al. (2023). Cancer-Specific Sequences in the Diagnosis and Treatment of NUT Carcinoma. Cancer Res Treat 55:452–467. </w:t>
      </w:r>
      <w:hyperlink r:id="rId25">
        <w:r>
          <w:rPr>
            <w:rStyle w:val="Hyperlink"/>
          </w:rPr>
          <w:t>doi:10.4143/crt.2022.910</w:t>
        </w:r>
      </w:hyperlink>
      <w:r>
        <w:rPr/>
        <w:t xml:space="preserve"> </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26">
        <w:r>
          <w:rPr>
            <w:rStyle w:val="Hyperlink"/>
          </w:rPr>
          <w:t>PMID: 31020999</w:t>
        </w:r>
      </w:hyperlink>
      <w:r>
        <w:rPr/>
        <w:t>); the two patient-derived models of Bangerter et al. (</w:t>
      </w:r>
      <w:hyperlink r:id="rId27">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638"/>
        <w:gridCol w:w="2744"/>
        <w:gridCol w:w="751"/>
        <w:gridCol w:w="1509"/>
        <w:gridCol w:w="1173"/>
        <w:gridCol w:w="2051"/>
      </w:tblGrid>
      <w:tr>
        <w:trPr>
          <w:tblHeader w:val="true"/>
        </w:trPr>
        <w:tc>
          <w:tcPr>
            <w:tcW w:w="9866" w:type="dxa"/>
            <w:gridSpan w:val="6"/>
            <w:tcBorders/>
            <w:vAlign w:val="center"/>
          </w:tcPr>
          <w:p>
            <w:pPr>
              <w:pStyle w:val="TableHeading"/>
              <w:suppressLineNumbers/>
              <w:shd w:fill="EAEEF2" w:val="clear"/>
              <w:bidi w:val="0"/>
              <w:jc w:val="left"/>
              <w:rPr/>
            </w:pPr>
            <w:r>
              <w:rPr/>
              <w:t>Table 1</w:t>
            </w:r>
          </w:p>
        </w:tc>
      </w:tr>
      <w:tr>
        <w:trPr>
          <w:tblHeader w:val="true"/>
        </w:trPr>
        <w:tc>
          <w:tcPr>
            <w:tcW w:w="1638" w:type="dxa"/>
            <w:tcBorders/>
            <w:vAlign w:val="center"/>
          </w:tcPr>
          <w:p>
            <w:pPr>
              <w:pStyle w:val="TableHeading"/>
              <w:suppressLineNumbers/>
              <w:shd w:fill="EAEEF2" w:val="clear"/>
              <w:bidi w:val="0"/>
              <w:jc w:val="left"/>
              <w:rPr/>
            </w:pPr>
            <w:r>
              <w:rPr/>
              <w:t>seam</w:t>
            </w:r>
          </w:p>
        </w:tc>
        <w:tc>
          <w:tcPr>
            <w:tcW w:w="2744"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509" w:type="dxa"/>
            <w:tcBorders/>
            <w:vAlign w:val="center"/>
          </w:tcPr>
          <w:p>
            <w:pPr>
              <w:pStyle w:val="TableHeading"/>
              <w:suppressLineNumbers/>
              <w:shd w:fill="EAEEF2" w:val="clear"/>
              <w:bidi w:val="0"/>
              <w:jc w:val="left"/>
              <w:rPr/>
            </w:pPr>
            <w:r>
              <w:rPr/>
              <w:t>WT gap duplex (bp)</w:t>
            </w:r>
          </w:p>
        </w:tc>
        <w:tc>
          <w:tcPr>
            <w:tcW w:w="1173" w:type="dxa"/>
            <w:tcBorders/>
            <w:vAlign w:val="center"/>
          </w:tcPr>
          <w:p>
            <w:pPr>
              <w:pStyle w:val="TableHeading"/>
              <w:suppressLineNumbers/>
              <w:shd w:fill="EAEEF2" w:val="clear"/>
              <w:bidi w:val="0"/>
              <w:jc w:val="left"/>
              <w:rPr/>
            </w:pPr>
            <w:r>
              <w:rPr/>
              <w:t>ΔTm floor (°C)</w:t>
            </w:r>
          </w:p>
        </w:tc>
        <w:tc>
          <w:tcPr>
            <w:tcW w:w="2051" w:type="dxa"/>
            <w:tcBorders/>
            <w:vAlign w:val="center"/>
          </w:tcPr>
          <w:p>
            <w:pPr>
              <w:pStyle w:val="TableHeading"/>
              <w:suppressLineNumbers/>
              <w:shd w:fill="EAEEF2" w:val="clear"/>
              <w:bidi w:val="0"/>
              <w:jc w:val="left"/>
              <w:rPr/>
            </w:pPr>
            <w:r>
              <w:rPr/>
              <w:t>test article</w:t>
            </w:r>
          </w:p>
        </w:tc>
      </w:tr>
      <w:tr>
        <w:trPr/>
        <w:tc>
          <w:tcPr>
            <w:tcW w:w="1638"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8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26.6</w:t>
            </w:r>
          </w:p>
        </w:tc>
        <w:tc>
          <w:tcPr>
            <w:tcW w:w="2051" w:type="dxa"/>
            <w:tcBorders/>
            <w:vAlign w:val="center"/>
          </w:tcPr>
          <w:p>
            <w:pPr>
              <w:pStyle w:val="TableContents"/>
              <w:widowControl w:val="false"/>
              <w:suppressLineNumbers/>
              <w:bidi w:val="0"/>
              <w:jc w:val="left"/>
              <w:rPr/>
            </w:pPr>
            <w:r>
              <w:rPr/>
              <w:t>E-N, engineered construct</w:t>
            </w:r>
          </w:p>
        </w:tc>
      </w:tr>
      <w:tr>
        <w:trPr/>
        <w:tc>
          <w:tcPr>
            <w:tcW w:w="1638"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9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36.0</w:t>
            </w:r>
          </w:p>
        </w:tc>
        <w:tc>
          <w:tcPr>
            <w:tcW w:w="205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The Controls section above explains why that screening step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8"/>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DejaVu Sans" w:cs="DejaVu 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DejaVu Sans" w:cs="DejaVu 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DejaVu Sans" w:cs="DejaVu 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061075"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007/s00432-025-06316-5" TargetMode="External"/><Relationship Id="rId7" Type="http://schemas.openxmlformats.org/officeDocument/2006/relationships/hyperlink" Target="https://doi.org/10.1186/2045-3329-3-16" TargetMode="External"/><Relationship Id="rId8" Type="http://schemas.openxmlformats.org/officeDocument/2006/relationships/hyperlink" Target="https://doi.org/10.1016/S1470-2045(19)30319-5" TargetMode="External"/><Relationship Id="rId9" Type="http://schemas.openxmlformats.org/officeDocument/2006/relationships/hyperlink" Target="https://doi.org/10.1023/a:1005716926800" TargetMode="External"/><Relationship Id="rId10" Type="http://schemas.openxmlformats.org/officeDocument/2006/relationships/hyperlink" Target="https://doi.org/10.1093/noajnl/vdaa132" TargetMode="External"/><Relationship Id="rId11" Type="http://schemas.openxmlformats.org/officeDocument/2006/relationships/hyperlink" Target="https://doi.org/10.1089/hum.2011.079" TargetMode="External"/><Relationship Id="rId12" Type="http://schemas.openxmlformats.org/officeDocument/2006/relationships/hyperlink" Target="https://doi.org/10.1158/1078-0432.ccr-12-2715" TargetMode="External"/><Relationship Id="rId13" Type="http://schemas.openxmlformats.org/officeDocument/2006/relationships/hyperlink" Target="https://doi.org/10.1016/j.ymthe.2023.11.012" TargetMode="External"/><Relationship Id="rId14" Type="http://schemas.openxmlformats.org/officeDocument/2006/relationships/hyperlink" Target="https://doi.org/10.1016/j.ddtec.2005.08.012" TargetMode="External"/><Relationship Id="rId15" Type="http://schemas.openxmlformats.org/officeDocument/2006/relationships/hyperlink" Target="https://doi.org/10.1089/nat.2024.0072" TargetMode="External"/><Relationship Id="rId16" Type="http://schemas.openxmlformats.org/officeDocument/2006/relationships/hyperlink" Target="https://doi.org/10.1093/nar/gkae1071" TargetMode="External"/><Relationship Id="rId17" Type="http://schemas.openxmlformats.org/officeDocument/2006/relationships/hyperlink" Target="https://doi.org/10.1021/bi00035a029" TargetMode="External"/><Relationship Id="rId18" Type="http://schemas.openxmlformats.org/officeDocument/2006/relationships/hyperlink" Target="https://doi.org/10.1002/gcc.10127" TargetMode="External"/><Relationship Id="rId19" Type="http://schemas.openxmlformats.org/officeDocument/2006/relationships/hyperlink" Target="https://doi.org/10.1016/j.modpat.2023.100161" TargetMode="External"/><Relationship Id="rId20" Type="http://schemas.openxmlformats.org/officeDocument/2006/relationships/hyperlink" Target="https://doi.org/10.3390/ijms19071855" TargetMode="External"/><Relationship Id="rId21" Type="http://schemas.openxmlformats.org/officeDocument/2006/relationships/hyperlink" Target="https://doi.org/10.1200/po.22.00039" TargetMode="External"/><Relationship Id="rId22" Type="http://schemas.openxmlformats.org/officeDocument/2006/relationships/hyperlink" Target="https://doi.org/10.1002/path.5284" TargetMode="External"/><Relationship Id="rId23" Type="http://schemas.openxmlformats.org/officeDocument/2006/relationships/hyperlink" Target="https://doi.org/10.1007/s13577-022-00818-x" TargetMode="External"/><Relationship Id="rId24" Type="http://schemas.openxmlformats.org/officeDocument/2006/relationships/hyperlink" Target="https://doi.org/10.3390/cancers15123127" TargetMode="External"/><Relationship Id="rId25" Type="http://schemas.openxmlformats.org/officeDocument/2006/relationships/hyperlink" Target="https://doi.org/10.4143/crt.2022.910" TargetMode="External"/><Relationship Id="rId26" Type="http://schemas.openxmlformats.org/officeDocument/2006/relationships/hyperlink" Target="https://pubmed.ncbi.nlm.nih.gov/31020999/" TargetMode="External"/><Relationship Id="rId27" Type="http://schemas.openxmlformats.org/officeDocument/2006/relationships/hyperlink" Target="https://pubmed.ncbi.nlm.nih.gov/36316541/" TargetMode="External"/><Relationship Id="rId28" Type="http://schemas.openxmlformats.org/officeDocument/2006/relationships/image" Target="media/image1.png"/><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