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w:t>
      </w:r>
      <w:r>
        <w:rPr>
          <w:position w:val="7"/>
          <w:sz w:val="17"/>
        </w:rPr>
        <w:t>22</w:t>
      </w:r>
      <w:r>
        <w:rPr/>
        <w:t xml:space="preserve">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§5 specifies, against the wild-type parent §3 identifies as the liability.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the condemned class reaches these reagents: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w:t>
      </w:r>
      <w:r>
        <w:rPr>
          <w:position w:val="7"/>
          <w:sz w:val="17"/>
        </w:rPr>
        <w:t>22</w:t>
      </w:r>
      <w:r>
        <w:rPr/>
        <w:t xml:space="preserve">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What the screen does establish is structural rather than statistical, and it does not depend on the cut: the parent liability §1 describes is invisible to the instrument a designer would ordinarily use at any threshold it is normally run at, which is the case for screening it directly whatever cut is adopted.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-rearranged tumours of a whole-transcriptome series,</w:t>
      </w:r>
      <w:r>
        <w:rPr>
          <w:position w:val="7"/>
          <w:sz w:val="17"/>
        </w:rPr>
        <w:t>23</w:t>
      </w:r>
      <w:r>
        <w:rPr/>
        <w:t xml:space="preserve"> and a </w:t>
      </w:r>
      <w:r>
        <w:rPr>
          <w:rStyle w:val="Emphasis"/>
        </w:rPr>
        <w:t>PGR</w:t>
      </w:r>
      <w:r>
        <w:rPr/>
        <w:t>::</w:t>
      </w:r>
      <w:r>
        <w:rPr>
          <w:rStyle w:val="Emphasis"/>
        </w:rPr>
        <w:t>NR4A3</w:t>
      </w:r>
      <w:r>
        <w:rPr/>
        <w:t xml:space="preserve"> case joins exon 2 to the </w:t>
      </w:r>
      <w:r>
        <w:rPr>
          <w:rStyle w:val="Emphasis"/>
        </w:rPr>
        <w:t>NR4A3</w:t>
      </w:r>
      <w:r>
        <w:rPr/>
        <w:t xml:space="preserve"> 5′ untranslated region.</w:t>
      </w:r>
      <w:r>
        <w:rPr>
          <w:position w:val="7"/>
          <w:sz w:val="17"/>
        </w:rPr>
        <w:t>16</w:t>
      </w:r>
      <w:r>
        <w:rPr/>
        <w:t xml:space="preserve"> Beyond exon 3 the position is the reverse: across the exon-resolved </w:t>
      </w:r>
      <w:r>
        <w:rPr>
          <w:rStyle w:val="Emphasis"/>
        </w:rPr>
        <w:t>NR4A3</w:t>
      </w:r>
      <w:r>
        <w:rPr/>
        <w:t xml:space="preserve"> junctions retrieved here every acceptor is exon 2, exon 3, or a cryptic exon in intron 2,</w:t>
      </w:r>
      <w:r>
        <w:rPr>
          <w:position w:val="7"/>
          <w:sz w:val="17"/>
        </w:rPr>
        <w:t>14</w:t>
      </w:r>
      <w:r>
        <w:rPr/>
        <w:t xml:space="preserve"> none 3′ of exon 3, so nothing is designed there because no patient is reported there.</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One reading is nonetheless more parsimonious. EMC's defining lesion produces a chimeric transcription factor.</w:t>
      </w:r>
      <w:r>
        <w:rPr>
          <w:position w:val="7"/>
          <w:sz w:val="17"/>
        </w:rPr>
        <w:t>1,14</w:t>
      </w:r>
      <w:r>
        <w:rPr/>
        <w:t xml:space="preserve">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of §2,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17</w:t>
      </w:r>
      <w:r>
        <w:rPr/>
        <w:t xml:space="preserve"> It is specified here for these reagents, with three controls a knockdown assay alone cannot distinguish. Two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 a comparison of the two half-maximal concentrations is the margin assessment the recommendations specify at this step, and they decline to set a default value for it.</w:t>
      </w:r>
      <w:r>
        <w:rPr>
          <w:position w:val="7"/>
          <w:sz w:val="17"/>
        </w:rPr>
        <w:t>22</w:t>
      </w:r>
      <w:r>
        <w:rPr/>
        <w:t xml:space="preserve">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8,9,10,18</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19</w:t>
      </w:r>
      <w:r>
        <w:rPr/>
        <w:t xml:space="preserve"> Junction-spanning 16-mer gapmers were tiled in a 5-6-5 β-D-oxy-locked-nucleic-acid/DNA/β-D-oxy-locked-nucleic-acid geometry,</w:t>
      </w:r>
      <w:r>
        <w:rPr>
          <w:position w:val="7"/>
          <w:sz w:val="17"/>
        </w:rPr>
        <w:t>20</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which is the search scope the 2025 recommendations ask for.</w:t>
      </w:r>
      <w:r>
        <w:rPr>
          <w:position w:val="7"/>
          <w:sz w:val="17"/>
        </w:rPr>
        <w:t>22</w:t>
      </w:r>
      <w:r>
        <w:rPr/>
        <w:t xml:space="preserve"> A near-match is a transcript window pairing a design at 14 or more of its 16 positions. Each alignment was then re-scored on the nearest-neighbour stability of its longest contiguous paired run, the energy-based second stage those recommendations prescribe;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21</w:t>
      </w:r>
      <w:r>
        <w:rPr/>
        <w:t xml:space="preserve"> Those parameters do not describe a locked, phosphorothioate oligonucleotide, so no absolute melting point is reported; only the fusion-versus-parent separation, and as a floor, the fusion duplex pairing all ten locked residues to each parent half-duplex's five, by construction throughout.</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It is a floor, by the method and for the reason given in Methods;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 The two control oligonucleotides, each screened as its reagent was</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et al.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et al.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et al.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et al.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et al.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et al. (2023). Reduction of Tumor Growth with RNA-Targeting Treatment of the NAB2-STAT6 Fusion Transcript in Solitary Fibrous Tumor Models. Cancers (Basel) 15:3127. </w:t>
      </w:r>
      <w:hyperlink r:id="rId22">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et al. (2023). Cancer-Specific Sequences in the Diagnosis and Treatment of NUT Carcinoma. Cancer Res Treat 55:452–467. </w:t>
      </w:r>
      <w:hyperlink r:id="rId23">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4">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et al. (1995). Thermodynamic parameters to predict stability of RNA/DNA hybrid duplexes. Biochemistry 34:11211–11216. </w:t>
      </w:r>
      <w:hyperlink r:id="rId26">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et al. (2025). Assessing Hybridization-Dependent Off-Target Risk for Therapeutic Oligonucleotides: Updated Industry Recommendations. Nucleic Acid Ther 35:16–33. </w:t>
      </w:r>
      <w:hyperlink r:id="rId27">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Urbini M, V Indio, A Astolfi, et al. (2018). Identification of an Actionable Mutation of KIT in a Case of Extraskeletal Myxoid Chondrosarcoma. Int J Mol Sci 19:E1855. </w:t>
      </w:r>
      <w:hyperlink r:id="rId28">
        <w:r>
          <w:rPr>
            <w:rStyle w:val="Hyperlink"/>
          </w:rPr>
          <w:t>doi:10.3390/ijms19071855</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1200/po.22.00039" TargetMode="External"/><Relationship Id="rId22" Type="http://schemas.openxmlformats.org/officeDocument/2006/relationships/hyperlink" Target="https://doi.org/10.3390/cancers15123127" TargetMode="External"/><Relationship Id="rId23" Type="http://schemas.openxmlformats.org/officeDocument/2006/relationships/hyperlink" Target="https://doi.org/10.4143/crt.2022.910" TargetMode="External"/><Relationship Id="rId24" Type="http://schemas.openxmlformats.org/officeDocument/2006/relationships/hyperlink" Target="https://doi.org/10.1093/nar/gkae1071" TargetMode="External"/><Relationship Id="rId25" Type="http://schemas.openxmlformats.org/officeDocument/2006/relationships/hyperlink" Target="https://doi.org/10.1016/j.ddtec.2005.08.012" TargetMode="External"/><Relationship Id="rId26" Type="http://schemas.openxmlformats.org/officeDocument/2006/relationships/hyperlink" Target="https://doi.org/10.1021/bi00035a029" TargetMode="External"/><Relationship Id="rId27" Type="http://schemas.openxmlformats.org/officeDocument/2006/relationships/hyperlink" Target="https://doi.org/10.1089/nat.2024.0072" TargetMode="External"/><Relationship Id="rId28" Type="http://schemas.openxmlformats.org/officeDocument/2006/relationships/hyperlink" Target="https://doi.org/10.3390/ijms19071855" TargetMode="Externa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