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0"/>
        <w:jc w:val="left"/>
        <w:rPr/>
      </w:pPr>
      <w:r>
        <w:rPr>
          <w:rStyle w:val="Emphasis"/>
        </w:rPr>
        <w:t>NR4A3</w:t>
      </w:r>
      <w:r>
        <w:rPr/>
        <w:t xml:space="preserve"> fusion-junction antisense gapmers for extraskeletal myxoid chondrosarcoma: reagents, test articles and a pre-registrable knockdown experiment</w:t>
      </w:r>
    </w:p>
    <w:p>
      <w:pPr>
        <w:pStyle w:val="BodyText"/>
        <w:bidi w:val="0"/>
        <w:rPr/>
      </w:pPr>
      <w:r>
        <w:rPr>
          <w:rStyle w:val="Strong"/>
        </w:rPr>
        <w:t>Author.</w:t>
      </w:r>
      <w:r>
        <w:rPr/>
        <w:t xml:space="preserve"> Tristan D. McRae</w:t>
      </w:r>
    </w:p>
    <w:p>
      <w:pPr>
        <w:pStyle w:val="BodyText"/>
        <w:bidi w:val="0"/>
        <w:rPr/>
      </w:pPr>
      <w:r>
        <w:rPr>
          <w:rStyle w:val="Emphasis"/>
        </w:rPr>
        <w:t>Independent researcher, unaffiliated.</w:t>
      </w:r>
      <w:r>
        <w:rPr/>
        <w:t xml:space="preserve"> Correspondence: trimcrae@gmail.com ORCID: </w:t>
      </w:r>
      <w:hyperlink r:id="rId2">
        <w:r>
          <w:rPr>
            <w:rStyle w:val="Hyperlink"/>
          </w:rPr>
          <w:t>0000-0002-1823-1451</w:t>
        </w:r>
      </w:hyperlink>
    </w:p>
    <w:p>
      <w:pPr>
        <w:pStyle w:val="BodyText"/>
        <w:bidi w:val="0"/>
        <w:rPr/>
      </w:pPr>
      <w:r>
        <w:rPr>
          <w:rStyle w:val="Strong"/>
        </w:rPr>
        <w:t>Running title.</w:t>
      </w:r>
      <w:r>
        <w:rPr/>
        <w:t xml:space="preserve"> NR4A3 junction gapmers for EMC</w:t>
      </w:r>
    </w:p>
    <w:p>
      <w:pPr>
        <w:pStyle w:val="HorizontalLine"/>
        <w:bidi w:val="0"/>
        <w:jc w:val="left"/>
        <w:rPr/>
      </w:pPr>
      <w:r>
        <w:rPr/>
      </w:r>
    </w:p>
    <w:p>
      <w:pPr>
        <w:pStyle w:val="Heading2"/>
        <w:bidi w:val="0"/>
        <w:jc w:val="left"/>
        <w:rPr/>
      </w:pPr>
      <w:r>
        <w:rPr/>
        <w:t>Abstract</w:t>
      </w:r>
    </w:p>
    <w:p>
      <w:pPr>
        <w:pStyle w:val="BodyText"/>
        <w:bidi w:val="0"/>
        <w:rPr/>
      </w:pPr>
      <w:r>
        <w:rPr/>
        <w:t xml:space="preserve">Extraskeletal myxoid chondrosarcoma (EMC) is an ultra-rare sarcoma usually defined by an in-frame </w:t>
      </w:r>
      <w:r>
        <w:rPr>
          <w:rStyle w:val="Emphasis"/>
        </w:rPr>
        <w:t>NR4A3</w:t>
      </w:r>
      <w:r>
        <w:rPr/>
        <w:t xml:space="preserve"> fusion. That junction is in no normal transcript, so an antisense gapmer could in principle cleave it, sparing its parents; none is reported for any </w:t>
      </w:r>
      <w:r>
        <w:rPr>
          <w:rStyle w:val="Emphasis"/>
        </w:rPr>
        <w:t>NR4A3</w:t>
      </w:r>
      <w:r>
        <w:rPr/>
        <w:t xml:space="preserve"> fusion in the literature retrieved. This work is computational, executing an industry off-target framework's in-silico step; every sequence named is a research reagent not for administration. It names what a laboratory needs: two reagents at the most-reported breakpoints, 5′-GGGCATATCATCAAAC-3′ at </w:t>
      </w:r>
      <w:r>
        <w:rPr>
          <w:rStyle w:val="Emphasis"/>
        </w:rPr>
        <w:t>EWSR1</w:t>
      </w:r>
      <w:r>
        <w:rPr/>
        <w:t xml:space="preserve"> exon 12 and 5′-GGGCATATCTTGTGTG-3′ at </w:t>
      </w:r>
      <w:r>
        <w:rPr>
          <w:rStyle w:val="Emphasis"/>
        </w:rPr>
        <w:t>TAF15</w:t>
      </w:r>
      <w:r>
        <w:rPr/>
        <w:t xml:space="preserve"> exon 6, both to </w:t>
      </w:r>
      <w:r>
        <w:rPr>
          <w:rStyle w:val="Emphasis"/>
        </w:rPr>
        <w:t>NR4A3</w:t>
      </w:r>
      <w:r>
        <w:rPr/>
        <w:t xml:space="preserve"> exon 3, longest wild-type parent gap duplexes eight and nine base pairs; two screened controls; a pre-registrable selectivity threshold. Both come from a panel of 190 junction-spanning 16-mers tiled 5-6-5 across 38 in-frame junctions: 87 let a mature wild-type parent pair their whole catalytic gap over ten or more contiguous base pairs, and for 61 the longest is wild-type </w:t>
      </w:r>
      <w:r>
        <w:rPr>
          <w:rStyle w:val="Emphasis"/>
        </w:rPr>
        <w:t>NR4A3</w:t>
      </w:r>
      <w:r>
        <w:rPr/>
        <w:t xml:space="preserve">. Ten is a convention, not a measurement: exon-terminus chimeras meet the same screen at 40.6% against the panel's 45.8%. Five test articles are named; the two fusion-positive EMC cell models are reported at an </w:t>
      </w:r>
      <w:r>
        <w:rPr>
          <w:rStyle w:val="Emphasis"/>
        </w:rPr>
        <w:t>NR4A3</w:t>
      </w:r>
      <w:r>
        <w:rPr/>
        <w:t xml:space="preserve"> exon-2 acceptor, not this panel's. The design procedure is released.</w:t>
      </w:r>
    </w:p>
    <w:p>
      <w:pPr>
        <w:pStyle w:val="Heading2"/>
        <w:bidi w:val="0"/>
        <w:jc w:val="left"/>
        <w:rPr/>
      </w:pPr>
      <w:r>
        <w:rPr/>
        <w:t>Keywords</w:t>
      </w:r>
    </w:p>
    <w:p>
      <w:pPr>
        <w:pStyle w:val="BodyText"/>
        <w:bidi w:val="0"/>
        <w:rPr/>
      </w:pPr>
      <w:r>
        <w:rPr/>
        <w:t>antisense oligonucleotide; gapmer; RNase-H1; fusion transcript; NR4A3; extraskeletal myxoid chondrosarcoma; off-target screening</w:t>
      </w:r>
    </w:p>
    <w:p>
      <w:pPr>
        <w:pStyle w:val="HorizontalLine"/>
        <w:bidi w:val="0"/>
        <w:jc w:val="left"/>
        <w:rPr/>
      </w:pPr>
      <w:r>
        <w:rPr/>
      </w:r>
    </w:p>
    <w:p>
      <w:pPr>
        <w:pStyle w:val="Heading2"/>
        <w:bidi w:val="0"/>
        <w:jc w:val="left"/>
        <w:rPr/>
      </w:pPr>
      <w:r>
        <w:rPr/>
        <w:t>Introduction</w:t>
      </w:r>
    </w:p>
    <w:p>
      <w:pPr>
        <w:pStyle w:val="BodyText"/>
        <w:bidi w:val="0"/>
        <w:rPr/>
      </w:pPr>
      <w:r>
        <w:rPr/>
        <w:t xml:space="preserve">EMC is defined in the large majority of cases by an in-frame fusion of </w:t>
      </w:r>
      <w:r>
        <w:rPr>
          <w:rStyle w:val="Emphasis"/>
        </w:rPr>
        <w:t>EWSR1</w:t>
      </w:r>
      <w:r>
        <w:rPr/>
        <w:t xml:space="preserve"> to </w:t>
      </w:r>
      <w:r>
        <w:rPr>
          <w:rStyle w:val="Emphasis"/>
        </w:rPr>
        <w:t>NR4A3</w:t>
      </w:r>
      <w:r>
        <w:rPr/>
        <w:t xml:space="preserve">[1], with </w:t>
      </w:r>
      <w:r>
        <w:rPr>
          <w:rStyle w:val="Emphasis"/>
        </w:rPr>
        <w:t>TAF15</w:t>
      </w:r>
      <w:r>
        <w:rPr/>
        <w:t xml:space="preserve"> a substantial minority and </w:t>
      </w:r>
      <w:r>
        <w:rPr>
          <w:rStyle w:val="Emphasis"/>
        </w:rPr>
        <w:t>TCF12</w:t>
      </w:r>
      <w:r>
        <w:rPr/>
        <w:t xml:space="preserve"> and </w:t>
      </w:r>
      <w:r>
        <w:rPr>
          <w:rStyle w:val="Emphasis"/>
        </w:rPr>
        <w:t>TFG</w:t>
      </w:r>
      <w:r>
        <w:rPr/>
        <w:t xml:space="preserve"> rare[2]. </w:t>
      </w:r>
      <w:r>
        <w:rPr>
          <w:rStyle w:val="Emphasis"/>
        </w:rPr>
        <w:t>FUS</w:t>
      </w:r>
      <w:r>
        <w:rPr/>
        <w:t xml:space="preserve"> is a further reported partner, in two of five variant cases in a recent series[3], and supplies eight of the junctions modelled here. The disease responds poorly to conventional cytotoxic chemotherapy[4], though responses do occur[5], and a tyrosine-kinase inhibitor trialled in it gave disease control more often than response — a reading composed from the review's response categories[4] rather than from a figure stated in the trial report[6].</w:t>
      </w:r>
    </w:p>
    <w:p>
      <w:pPr>
        <w:pStyle w:val="BodyText"/>
        <w:bidi w:val="0"/>
        <w:rPr/>
      </w:pPr>
      <w:r>
        <w:rPr/>
        <w:t xml:space="preserve">The fusion junction is the one feature of an EMC tumour that exists at the RNA level and in no normal cell. An antisense gapmer tiled across it recruits RNase-H1 to cleave the transcript it pairs, at the six-nucleotide DNA gap at the centre of a 5-6-5 architecture. Junction-directed nucleic-acid agents have a thirty-five-year lineage, reported against at least six fusion oncogenes: two as antisense oligonucleotides, the rest as RNA-interference agents, one of those from a lentiviral vector rather than an administered oligonucleotide[7-12]. No such design is reported for any </w:t>
      </w:r>
      <w:r>
        <w:rPr>
          <w:rStyle w:val="Emphasis"/>
        </w:rPr>
        <w:t>NR4A3</w:t>
      </w:r>
      <w:r>
        <w:rPr/>
        <w:t xml:space="preserve"> fusion in the literature retrieved here.</w:t>
      </w:r>
    </w:p>
    <w:p>
      <w:pPr>
        <w:pStyle w:val="BodyText"/>
        <w:bidi w:val="0"/>
        <w:rPr/>
      </w:pPr>
      <w:r>
        <w:rPr/>
        <w:t>What a junction design must survive follows from its construction. Both halves are parent-gene sequence, so each parent matches roughly half the oligonucleotide — mostly outside the mismatch budget of a conventional off-target search, though not for every design. That parent liability is the one this work screens for directly. RNase-H1 does not require the whole duplex, only that the gap be paired. That premise is adopted here rather than established. Its length requirement is reported as a DNA gap of at least six nucleotides, with seven to ten the working range[13]; the screen below counts a liability only at ten contiguous base pairs of duplex through that gap, a length of hybrid rather than a count of gap nucleotides. Whether a wild-type parent pairs the catalytic gap contiguously is therefore a separate question from overall similarity, and it is the one this work puts to all 190 designs. That direction is adopted here rather than retrieved: off-target effects are taken to be seen more often where an oligonucleotide's mismatches fall in its wings than in its central gap. An industry working group's 2025 off-target recommendations[14] set five steps; only the first is even partly in silico, pairing complementarity prediction with transcriptomics. This work performs the in-silico half of the first step and stops there; the margin measurement of the third is what the Discussion specifies, against the wild-type parent the panel screen below identifies as the liability.</w:t>
      </w:r>
    </w:p>
    <w:p>
      <w:pPr>
        <w:pStyle w:val="Heading2"/>
        <w:bidi w:val="0"/>
        <w:jc w:val="left"/>
        <w:rPr/>
      </w:pPr>
      <w:r>
        <w:rPr/>
        <w:t>Materials and Methods</w:t>
      </w:r>
    </w:p>
    <w:p>
      <w:pPr>
        <w:pStyle w:val="BodyText"/>
        <w:bidi w:val="0"/>
        <w:rPr/>
      </w:pPr>
      <w:r>
        <w:rPr/>
        <w:t>All analyses are computational and use public data; no laboratory work was performed. Full parameters, the complete bounds on each claim and the per-design tables are in the archived deposit.</w:t>
      </w:r>
    </w:p>
    <w:p>
      <w:pPr>
        <w:pStyle w:val="BodyText"/>
        <w:bidi w:val="0"/>
        <w:rPr/>
      </w:pPr>
      <w:r>
        <w:rPr/>
        <w:t xml:space="preserve">Canonical transcripts for the five partner genes and for </w:t>
      </w:r>
      <w:r>
        <w:rPr>
          <w:rStyle w:val="Emphasis"/>
        </w:rPr>
        <w:t>NR4A3</w:t>
      </w:r>
      <w:r>
        <w:rPr/>
        <w:t xml:space="preserve"> were obtained from Ensembl[15]. Junction-spanning 16-mer gapmers were tiled in a 5-6-5 β-D-oxy-locked-nucleic-acid/DNA/β-D-oxy-locked-nucleic-acid geometry[13], one design per register at which the breakpoint falls inside the six-nucleotide DNA gap, which admits five per junction. That gap is the shortest length the cited source credits rather than its preferred one, and six is used because the genome-wide arm is not available above a 16-mer. A design's gap-level margin is the count of junction-unique bases inside the gap on the shorter side of the breakpoint.</w:t>
      </w:r>
    </w:p>
    <w:p>
      <w:pPr>
        <w:pStyle w:val="BodyText"/>
        <w:bidi w:val="0"/>
        <w:rPr/>
      </w:pPr>
      <w:r>
        <w:rPr/>
        <w:t>Five specificity screens were applied. The first aligns against human RefSeq RNA, classifying each near-match by whether the catalytic gap is paired. The second is an exhaustive transcript scan, complete for substitutions within a one-mismatch budget. The third reads the parents' unspliced sequence. The fourth records the longest contiguous duplex any of six wild-type parent transcripts forms through the catalytic gap. The fifth covers unambiguous GRCh38, mitochondrial sequence included. They cover mature transcript, unspliced precursor, exon-exon junction, non-coding and mitochondrial sequence — a search scope adopted here. A near-match is a transcript window pairing a design at 14 or more of its 16 positions. Each alignment was re-scored on the nearest-neighbour stability of its longest contiguous paired run, the energy-based second stage adopted here, and only separations are reported. A design is liable where a wild-type parent pairs its whole catalytic gap over a contiguous run of ten base pairs or more, ten being adopted rather than measured. Ten null ensembles were built and screened identically: four shuffles of each design, two drawn base by base from uniform or composition-matched frequencies, and four chimeras of two real parent transcripts, two of them meeting at real exon termini. Melting temperatures are nearest-neighbour values for an unmodified DNA:RNA hybrid at 250 nM strand[16]. That is not a locked phosphorothioate oligonucleotide, so no absolute melting point is reported. Only the fusion-versus-parent separation is, and as a floor: the fusion duplex pairs all ten locked residues where each parent pairs five.</w:t>
      </w:r>
    </w:p>
    <w:p>
      <w:pPr>
        <w:pStyle w:val="Heading2"/>
        <w:bidi w:val="0"/>
        <w:jc w:val="left"/>
        <w:rPr/>
      </w:pPr>
      <w:r>
        <w:rPr/>
        <w:t>Results</w:t>
      </w:r>
    </w:p>
    <w:p>
      <w:pPr>
        <w:pStyle w:val="Heading3"/>
        <w:bidi w:val="0"/>
        <w:jc w:val="left"/>
        <w:rPr/>
      </w:pPr>
      <w:r>
        <w:rPr/>
        <w:t>The reagents</w:t>
      </w:r>
    </w:p>
    <w:p>
      <w:pPr>
        <w:pStyle w:val="BodyText"/>
        <w:bidi w:val="0"/>
        <w:rPr/>
      </w:pPr>
      <w:r>
        <w:rPr/>
        <w:t xml:space="preserve">The two reagents named for synthesis are the best available designs at the two junctions with a published exon-resolved breakpoint and the highest reported prevalence: 5′-GGGCATATCATCAAAC-3′ at </w:t>
      </w:r>
      <w:r>
        <w:rPr>
          <w:rStyle w:val="Emphasis"/>
        </w:rPr>
        <w:t>EWSR1</w:t>
      </w:r>
      <w:r>
        <w:rPr/>
        <w:t xml:space="preserve"> exon 12 joined to </w:t>
      </w:r>
      <w:r>
        <w:rPr>
          <w:rStyle w:val="Emphasis"/>
        </w:rPr>
        <w:t>NR4A3</w:t>
      </w:r>
      <w:r>
        <w:rPr/>
        <w:t xml:space="preserve"> exon 3, and 5′-GGGCATATCTTGTGTG-3′ at </w:t>
      </w:r>
      <w:r>
        <w:rPr>
          <w:rStyle w:val="Emphasis"/>
        </w:rPr>
        <w:t>TAF15</w:t>
      </w:r>
      <w:r>
        <w:rPr/>
        <w:t xml:space="preserve"> exon 6 joined to </w:t>
      </w:r>
      <w:r>
        <w:rPr>
          <w:rStyle w:val="Emphasis"/>
        </w:rPr>
        <w:t>NR4A3</w:t>
      </w:r>
      <w:r>
        <w:rPr/>
        <w:t xml:space="preserve"> exon 3 (Table 1). Exon numbers throughout are transcript exon indices counted from the transcript 5′ end, including non-coding exons; an acceptor exon number read under the coding-exon convention instead selects a different reagent. Both hold the panel's top gap-level margin of three: three junction-unique bases inside the catalytic gap on the shorter side of the breakpoint, and neither pairs a wild-type parent through the gap at the ten-base-pair criterion below.</w:t>
      </w:r>
    </w:p>
    <w:p>
      <w:pPr>
        <w:pStyle w:val="BodyText"/>
        <w:bidi w:val="0"/>
        <w:rPr/>
      </w:pPr>
      <w:r>
        <w:rPr/>
        <w:t xml:space="preserve">Both reagents sit close to that ten-base-pair criterion. The </w:t>
      </w:r>
      <w:r>
        <w:rPr>
          <w:rStyle w:val="Emphasis"/>
        </w:rPr>
        <w:t>EWSR1</w:t>
      </w:r>
      <w:r>
        <w:rPr/>
        <w:t xml:space="preserve"> reagent's longest wild-type parent duplex through the whole gap is eight base pairs and the </w:t>
      </w:r>
      <w:r>
        <w:rPr>
          <w:rStyle w:val="Emphasis"/>
        </w:rPr>
        <w:t>TAF15</w:t>
      </w:r>
      <w:r>
        <w:rPr/>
        <w:t xml:space="preserve"> reagent's is nine, both against wild-type </w:t>
      </w:r>
      <w:r>
        <w:rPr>
          <w:rStyle w:val="Emphasis"/>
        </w:rPr>
        <w:t>TFG</w:t>
      </w:r>
      <w:r>
        <w:rPr/>
        <w:t xml:space="preserve">. The cut therefore decides how they read. At eight, both fall inside the class this work marks as not to be ordered; at nine, the </w:t>
      </w:r>
      <w:r>
        <w:rPr>
          <w:rStyle w:val="Emphasis"/>
        </w:rPr>
        <w:t>TAF15</w:t>
      </w:r>
      <w:r>
        <w:rPr/>
        <w:t xml:space="preserve"> reagent alone does; only at ten does neither. Both also pair a wild-type parent through part of the gap at the </w:t>
      </w:r>
      <w:r>
        <w:rPr>
          <w:rStyle w:val="Emphasis"/>
        </w:rPr>
        <w:t>NR4A3</w:t>
      </w:r>
      <w:r>
        <w:rPr/>
        <w:t xml:space="preserve"> exon-2/exon-3 seam their acceptor halves share, neither in full; those partial duplexes are not counted here and have not been measured. Consecutive registers of one seam differ by a single-base slide and can carry opposite verdicts, and one slide from a named reagent is condemned: 5′-AGGGCATATCTTGTGT-3′ is one slide from the </w:t>
      </w:r>
      <w:r>
        <w:rPr>
          <w:rStyle w:val="Emphasis"/>
        </w:rPr>
        <w:t>TAF15</w:t>
      </w:r>
      <w:r>
        <w:rPr/>
        <w:t xml:space="preserve"> reagent and pairs 11 base pairs of wild-type </w:t>
      </w:r>
      <w:r>
        <w:rPr>
          <w:rStyle w:val="Emphasis"/>
        </w:rPr>
        <w:t>NR4A3</w:t>
      </w:r>
      <w:r>
        <w:rPr/>
        <w:t xml:space="preserve"> through its whole catalytic gap. Neither may be substituted for the other.</w:t>
      </w:r>
    </w:p>
    <w:p>
      <w:pPr>
        <w:pStyle w:val="BodyText"/>
        <w:bidi w:val="0"/>
        <w:rPr/>
      </w:pPr>
      <w:r>
        <w:rPr/>
        <w:t xml:space="preserve">Predicted transcriptome load separates the two only before the hits are counted by gene: 123 gap-paired sense-strand near-matches for the </w:t>
      </w:r>
      <w:r>
        <w:rPr>
          <w:rStyle w:val="Emphasis"/>
        </w:rPr>
        <w:t>EWSR1</w:t>
      </w:r>
      <w:r>
        <w:rPr/>
        <w:t xml:space="preserve"> reagent at a deeper search ceiling than the default, against eight for the </w:t>
      </w:r>
      <w:r>
        <w:rPr>
          <w:rStyle w:val="Emphasis"/>
        </w:rPr>
        <w:t>TAF15</w:t>
      </w:r>
      <w:r>
        <w:rPr/>
        <w:t xml:space="preserve"> one — but six gene loci against five. Most of the 123 are predicted transcript models rather than curated records. The </w:t>
      </w:r>
      <w:r>
        <w:rPr>
          <w:rStyle w:val="Emphasis"/>
        </w:rPr>
        <w:t>EWSR1</w:t>
      </w:r>
      <w:r>
        <w:rPr/>
        <w:t xml:space="preserve"> reagent also carries a sense-strand near-match in wild-type </w:t>
      </w:r>
      <w:r>
        <w:rPr>
          <w:rStyle w:val="Emphasis"/>
        </w:rPr>
        <w:t>TAF15</w:t>
      </w:r>
      <w:r>
        <w:rPr/>
        <w:t xml:space="preserve"> precursor RNA at two mismatches, one inside the catalytic gap, spanning an intron-exon boundary: the cost of the same ten shared donor bases that let one oligonucleotide span the </w:t>
      </w:r>
      <w:r>
        <w:rPr>
          <w:rStyle w:val="Emphasis"/>
        </w:rPr>
        <w:t>EWSR1</w:t>
      </w:r>
      <w:r>
        <w:rPr/>
        <w:t xml:space="preserve">, </w:t>
      </w:r>
      <w:r>
        <w:rPr>
          <w:rStyle w:val="Emphasis"/>
        </w:rPr>
        <w:t>TAF15</w:t>
      </w:r>
      <w:r>
        <w:rPr/>
        <w:t xml:space="preserve"> and </w:t>
      </w:r>
      <w:r>
        <w:rPr>
          <w:rStyle w:val="Emphasis"/>
        </w:rPr>
        <w:t>FUS</w:t>
      </w:r>
      <w:r>
        <w:rPr/>
        <w:t xml:space="preserve"> breakpoints at once (Figure 1). The </w:t>
      </w:r>
      <w:r>
        <w:rPr>
          <w:rStyle w:val="Emphasis"/>
        </w:rPr>
        <w:t>TAF15</w:t>
      </w:r>
      <w:r>
        <w:rPr/>
        <w:t xml:space="preserve"> reagent carries no sense-strand precursor site. The genome-wide screen does not separate them: 156 hybridisable gap-paired sites against 135. It scans genomic sequence rather than transcripts, most of it never transcribed, so that contrast is not one the genomic search supports. All three loads are predictions from sequence search rather than measured activity.</w:t>
      </w:r>
    </w:p>
    <w:p>
      <w:pPr>
        <w:pStyle w:val="BodyText"/>
        <w:bidi w:val="0"/>
        <w:rPr/>
      </w:pPr>
      <w:r>
        <w:rPr/>
        <w:t>Both reagents are phosphorothioate throughout, with wings of five contiguous β-D-oxy-locked residues, a high locked content against the two to four per wing taken here as usual, so these are not conventional locked-nucleic-acid reagents and their matched-duplex melting temperatures are correspondingly high. That cuts against the screens: a high-affinity chemistry is taken here to retain knockdown at more extensively mismatched sites than a conventional design does, so the two-mismatch ceiling the near-match screens run at may under-call for reagents of this locked content. Both begin 5′-GGG, a contiguous locked G-tract. High affinity is taken to carry a risk of sequence-dependent hepatotoxicity; that is a premise adopted here rather than a retrieved finding, and nothing here measures it.</w:t>
      </w:r>
    </w:p>
    <w:p>
      <w:pPr>
        <w:pStyle w:val="BodyText"/>
        <w:bidi w:val="0"/>
        <w:rPr/>
      </w:pPr>
      <w:r>
        <w:rPr/>
        <w:t xml:space="preserve">Discounted by the breakpoint distribution of an 18-case series[17], the two junctions account for 68.4% of molecularly confirmed cases in a 58-case cohort[18]. That prices which published junctions the two reagents address; it is not a coverage measurement, no patient having been screened with either sequence. The range 39.9% to 82.8% quoted with it is not a confidence interval and carries no nominal level: two of its four inputs do not vary, and it assumes a breakpoint distribution reported in one cohort transfers to a second collected twenty-one years later. The </w:t>
      </w:r>
      <w:r>
        <w:rPr>
          <w:rStyle w:val="Emphasis"/>
        </w:rPr>
        <w:t>TAF15</w:t>
      </w:r>
      <w:r>
        <w:rPr/>
        <w:t xml:space="preserve"> arm is priced at three of three reported breakpoints, an upper bound rather than an estimate.</w:t>
      </w:r>
    </w:p>
    <w:p>
      <w:pPr>
        <w:pStyle w:val="BodyText"/>
        <w:bidi w:val="0"/>
        <w:rPr/>
      </w:pPr>
      <w:r>
        <w:rPr/>
        <w:t xml:space="preserve">That figure is not a ceiling: a third design, 5′-GGGCATATCTCCACGG-3′ at </w:t>
      </w:r>
      <w:r>
        <w:rPr>
          <w:rStyle w:val="Emphasis"/>
        </w:rPr>
        <w:t>EWSR1</w:t>
      </w:r>
      <w:r>
        <w:rPr/>
        <w:t xml:space="preserve"> exon 13 joined to </w:t>
      </w:r>
      <w:r>
        <w:rPr>
          <w:rStyle w:val="Emphasis"/>
        </w:rPr>
        <w:t>NR4A3</w:t>
      </w:r>
      <w:r>
        <w:rPr/>
        <w:t xml:space="preserve"> exon 3, already tiled and screened at the same top margin, would take the figure above to 79.0%. It is not named for synthesis: this junction is third by reported prevalence and the selection takes the first two.</w:t>
      </w:r>
    </w:p>
    <w:p>
      <w:pPr>
        <w:pStyle w:val="Heading3"/>
        <w:bidi w:val="0"/>
        <w:jc w:val="left"/>
        <w:rPr/>
      </w:pPr>
      <w:r>
        <w:rPr/>
        <w:t>Selection from a panel of 190 designs</w:t>
      </w:r>
    </w:p>
    <w:p>
      <w:pPr>
        <w:pStyle w:val="BodyText"/>
        <w:bidi w:val="0"/>
        <w:rPr/>
      </w:pPr>
      <w:r>
        <w:rPr/>
        <w:t>The parent liability the Introduction describes is mostly but not wholly invisible to the instrument a designer would ordinarily use: seven of the 87 liable designs reach their parent at the 14-of-16 identity these screens run at, and are excluded by name rather than by that threshold. That is the case for screening it directly.</w:t>
      </w:r>
    </w:p>
    <w:p>
      <w:pPr>
        <w:pStyle w:val="BodyText"/>
        <w:bidi w:val="0"/>
        <w:rPr/>
      </w:pPr>
      <w:r>
        <w:rPr/>
        <w:t>Two bounds apply to any count of designs called CLEAN by the alignment screen, and to those only — the parent, precursor and genome-wide screens below run over all 190 with no failures and no censoring. First, seven of the 190 alignment screens never returned, and that screen censors the rest, leaving 47 of 183 assessable for cleanliness — so a count of clean designs is a floor over that subset, not a total over the panel. Second, most designs clean at the default search ceiling are not clean at a deeper one.</w:t>
      </w:r>
    </w:p>
    <w:p>
      <w:pPr>
        <w:pStyle w:val="BodyText"/>
        <w:bidi w:val="0"/>
        <w:rPr/>
      </w:pPr>
      <w:r>
        <w:rPr/>
        <w:t xml:space="preserve">Both reagents survived a screen applied uniformly to the whole panel. Across the 38 in-frame junctions of five modelled partners, 190 junction-spanning designs were tiled and put through five specificity screens. Of those, 87 let one of six mature wild-type parent transcripts pair their entire catalytic gap over a contiguous duplex of at least ten base pairs, and for 61 of the 87 the longest is wild-type </w:t>
      </w:r>
      <w:r>
        <w:rPr>
          <w:rStyle w:val="Emphasis"/>
        </w:rPr>
        <w:t>NR4A3</w:t>
      </w:r>
      <w:r>
        <w:rPr/>
        <w:t>; 85 are paired by one of the design's own two parent genes. A second class is invisible to any screen over mature transcripts: 19 designs carry a sense-strand near-match in parent precursor RNA pairing the gap in full. As a union rather than a sum the two screens condemn 93 of the 190. A design whose gap carries a mismatch is scored zero rather than short, so the 87 bound the fully-paired class, not the whole parent liability. Re-scored on duplex stability rather than on mismatch count, 8 designs carry a fully paired sixteen-base-pair off-target duplex and 45 one inside 2 kcal/mol of their own. Neither named reagent is in either class, the closest to each being 3.2 and 3.0 kcal/mol weaker. These are upper bounds on that separation, since scoring the longest paired run ignores pairing either side of a mismatch.</w:t>
      </w:r>
    </w:p>
    <w:p>
      <w:pPr>
        <w:pStyle w:val="BodyText"/>
        <w:bidi w:val="0"/>
        <w:rPr/>
      </w:pPr>
      <w:r>
        <w:rPr/>
        <w:t>Lengthening the catalytic gap does not remove this liability, because every base inside the gap comes from the donor or the acceptor exon. Across three geometries the liable count holds at 87, 88 and 87 while the panel grows from 190 designs to 266 and 342, so the rate falls from 45.8% to 33.1% and 25.4%: a longer gap buys margin per design without removing the liability. At 5-10-5 pairing the whole gap already demands ten base pairs, the top of the seven-to-ten the enzyme is reported to prefer, so a shorter run that could still license cleavage goes uncounted and that last figure is a floor; the deposit gives the series.</w:t>
      </w:r>
    </w:p>
    <w:p>
      <w:pPr>
        <w:pStyle w:val="BodyText"/>
        <w:bidi w:val="0"/>
        <w:rPr/>
      </w:pPr>
      <w:r>
        <w:rPr/>
        <w:t xml:space="preserve">Three designs clear every screen at the ten-base-pair criterion — two pairing no wild-type parent through the gap at any length, the third at eight base pairs against wild-type </w:t>
      </w:r>
      <w:r>
        <w:rPr>
          <w:rStyle w:val="Emphasis"/>
        </w:rPr>
        <w:t>NR4A3</w:t>
      </w:r>
      <w:r>
        <w:rPr/>
        <w:t xml:space="preserve">, below the criterion rather than absent. None is at a junction any patient is reported to carry, which makes them mechanism controls rather than candidates. Selecting within each junction rather than across the panel is what makes the two named reagents available: 35 of the 38 junctions have a design that clears the parent screen, and all five junctions with a published exon-resolved breakpoint have one. At nine base pairs 31 of the 38 still clear and three of the five published ones do; at eight, 23 and two; at seven, 9 and none; at six, 6 and none. These are whole-duplex run lengths rather than the enzyme's own unit, and the availability the named reagents rest on fails at nine, where the </w:t>
      </w:r>
      <w:r>
        <w:rPr>
          <w:rStyle w:val="Emphasis"/>
        </w:rPr>
        <w:t>TAF15</w:t>
      </w:r>
      <w:r>
        <w:rPr/>
        <w:t xml:space="preserve"> junction's best design is itself liable.</w:t>
      </w:r>
    </w:p>
    <w:p>
      <w:pPr>
        <w:pStyle w:val="BodyText"/>
        <w:bidi w:val="0"/>
        <w:rPr/>
      </w:pPr>
      <w:r>
        <w:rPr/>
        <w:t>The comparison against null models does not resolve an excess specific to this disease. Chimeras built at real exon termini of the same two transcripts, at junctions almost never reported in a patient, meet the parent screen at 40.6% against 45.8% for the panel. The adopted cut does not escape that comparison: at ten the strongest null's 40.6% falls inside the panel's own 95% interval on 45.8%, as at every cut from seven to thirteen but eleven. The comparison is narrower than it reads, the panel arm being itself mostly unreported junctions — the property the chimeric null is discounted for. Most of the liability is therefore what joining two exon termini of these genes gives, and across cuts of six to thirteen base pairs the excess over the strongest null changes sign four times.</w:t>
      </w:r>
    </w:p>
    <w:p>
      <w:pPr>
        <w:pStyle w:val="Heading3"/>
        <w:bidi w:val="0"/>
        <w:jc w:val="left"/>
        <w:rPr/>
      </w:pPr>
      <w:r>
        <w:rPr/>
        <w:t>Test articles</w:t>
      </w:r>
    </w:p>
    <w:p>
      <w:pPr>
        <w:pStyle w:val="BodyText"/>
        <w:bidi w:val="0"/>
        <w:rPr/>
      </w:pPr>
      <w:r>
        <w:rPr/>
        <w:t xml:space="preserve">Five test articles bear on the junctions this panel designs against, and they divide into two sources with opposite limits. Every design in the panel joins its donor to </w:t>
      </w:r>
      <w:r>
        <w:rPr>
          <w:rStyle w:val="Emphasis"/>
        </w:rPr>
        <w:t>NR4A3</w:t>
      </w:r>
      <w:r>
        <w:rPr/>
        <w:t xml:space="preserve"> exon 3, its first coding exon; the two cell models are reported at exon 2, and annotation does not reconcile the two. On no annotated </w:t>
      </w:r>
      <w:r>
        <w:rPr>
          <w:rStyle w:val="Emphasis"/>
        </w:rPr>
        <w:t>NR4A3</w:t>
      </w:r>
      <w:r>
        <w:rPr/>
        <w:t xml:space="preserve"> transcript is exon 2 the first coding exon, so a reported exon-2 acceptor is not this panel's acceptor renumbered.</w:t>
      </w:r>
    </w:p>
    <w:p>
      <w:pPr>
        <w:pStyle w:val="BodyText"/>
        <w:bidi w:val="0"/>
        <w:rPr/>
      </w:pPr>
      <w:r>
        <w:rPr/>
        <w:t xml:space="preserve">That mismatch is a property of how the panel was selected, not of the disease. Its 38 junctions were graded for a fusion protein, so an acceptor upstream of the </w:t>
      </w:r>
      <w:r>
        <w:rPr>
          <w:rStyle w:val="Emphasis"/>
        </w:rPr>
        <w:t>NR4A3</w:t>
      </w:r>
      <w:r>
        <w:rPr/>
        <w:t xml:space="preserve"> initiation codon was dropped as non-coding. That is the right filter for a degrader or a neoantigen and the wrong one for an RNase-H1 gapmer, which cleaves a transcript whether or not its reading frame survives. Exon 2 is a sequenced acceptor in this disease: </w:t>
      </w:r>
      <w:r>
        <w:rPr>
          <w:rStyle w:val="Emphasis"/>
        </w:rPr>
        <w:t>EWSR1</w:t>
      </w:r>
      <w:r>
        <w:rPr/>
        <w:t xml:space="preserve"> exon 7 joined to </w:t>
      </w:r>
      <w:r>
        <w:rPr>
          <w:rStyle w:val="Emphasis"/>
        </w:rPr>
        <w:t>NR4A3</w:t>
      </w:r>
      <w:r>
        <w:rPr/>
        <w:t xml:space="preserve"> exon 2 was resolved in one of five </w:t>
      </w:r>
      <w:r>
        <w:rPr>
          <w:rStyle w:val="Emphasis"/>
        </w:rPr>
        <w:t>EWSR1</w:t>
      </w:r>
      <w:r>
        <w:rPr/>
        <w:t xml:space="preserve">-rearranged tumours of a whole-transcriptome series[19], and a </w:t>
      </w:r>
      <w:r>
        <w:rPr>
          <w:rStyle w:val="Emphasis"/>
        </w:rPr>
        <w:t>PGR</w:t>
      </w:r>
      <w:r>
        <w:rPr/>
        <w:t>::</w:t>
      </w:r>
      <w:r>
        <w:rPr>
          <w:rStyle w:val="Emphasis"/>
        </w:rPr>
        <w:t>NR4A3</w:t>
      </w:r>
      <w:r>
        <w:rPr/>
        <w:t xml:space="preserve"> case joins exon 2 to the </w:t>
      </w:r>
      <w:r>
        <w:rPr>
          <w:rStyle w:val="Emphasis"/>
        </w:rPr>
        <w:t>NR4A3</w:t>
      </w:r>
      <w:r>
        <w:rPr/>
        <w:t xml:space="preserve"> 5′ untranslated region[20]. Beyond exon 3 the position is the reverse: across the exon-resolved </w:t>
      </w:r>
      <w:r>
        <w:rPr>
          <w:rStyle w:val="Emphasis"/>
        </w:rPr>
        <w:t>NR4A3</w:t>
      </w:r>
      <w:r>
        <w:rPr/>
        <w:t xml:space="preserve"> junctions retrieved here every acceptor is exon 2, exon 3, or a cryptic exon in intron 2[21], none 3′ of exon 3, so nothing is designed there because no patient is reported there.</w:t>
      </w:r>
    </w:p>
    <w:p>
      <w:pPr>
        <w:pStyle w:val="BodyText"/>
        <w:bidi w:val="0"/>
        <w:rPr/>
      </w:pPr>
      <w:r>
        <w:rPr/>
        <w:t>Three are engineered constructs from a published functional study[21], whose exon spans that paper states verbatim; two of them, E-N and T-N*, carry exactly the junctions the reagents above span, so both named reagents have a stated test article. Rebuilding them is the faster route, but a heterologously over-expressed complementary DNA speaks to junction-selective knockdown of the intended transcript, not to activity at an endogenous locus.</w:t>
      </w:r>
    </w:p>
    <w:p>
      <w:pPr>
        <w:pStyle w:val="BodyText"/>
        <w:bidi w:val="0"/>
        <w:ind w:hanging="0" w:left="0" w:right="0"/>
        <w:rPr/>
      </w:pPr>
      <w:r>
        <w:rPr/>
        <w:t xml:space="preserve">The other two are patient-derived, identity-clean models reported with two EMC tumours[22], USZ20-EMC1 (RRID:CVCL_C6MX) and USZ22-EMC2 (RRID:CVCL_C6MY), the only source of a fusion-positive EMC cell identified here. They are available on request with no repository deposit, and are slow, at reported doubling times of five to six days. Their fusions are reported as </w:t>
      </w:r>
      <w:r>
        <w:rPr>
          <w:rStyle w:val="Emphasis"/>
        </w:rPr>
        <w:t>EWSR1</w:t>
      </w:r>
      <w:r>
        <w:rPr/>
        <w:t xml:space="preserve"> exon 13 and </w:t>
      </w:r>
      <w:r>
        <w:rPr>
          <w:rStyle w:val="Emphasis"/>
        </w:rPr>
        <w:t>TAF15</w:t>
      </w:r>
      <w:r>
        <w:rPr/>
        <w:t xml:space="preserve"> exon 6 joined to </w:t>
      </w:r>
      <w:r>
        <w:rPr>
          <w:rStyle w:val="Emphasis"/>
        </w:rPr>
        <w:t>NR4A3</w:t>
      </w:r>
      <w:r>
        <w:rPr/>
        <w:t xml:space="preserve"> exon 2 rather than exon 3, and the report carries no sequenced exon-exon boundary, no transcript accession and no junction sequence, so whether that names a non-coding acceptor or an unsupported numbering is not decidable from what is published. This work's own withdrawn version arose from an error of exactly this class.</w:t>
      </w:r>
    </w:p>
    <w:p>
      <w:pPr>
        <w:pStyle w:val="BodyText"/>
        <w:bidi w:val="0"/>
        <w:rPr/>
      </w:pPr>
      <w:r>
        <w:rPr/>
        <w:t xml:space="preserve">One reading is nonetheless more parsimonious. EMC's defining lesion produces a chimeric transcription factor[1,21]. A donor joined to </w:t>
      </w:r>
      <w:r>
        <w:rPr>
          <w:rStyle w:val="Emphasis"/>
        </w:rPr>
        <w:t>NR4A3</w:t>
      </w:r>
      <w:r>
        <w:rPr/>
        <w:t xml:space="preserve">'s non-coding exon 2 would sit upstream of that gene's own initiation codon and so would not yield one — though it would leave that codon intact and place </w:t>
      </w:r>
      <w:r>
        <w:rPr>
          <w:rStyle w:val="Emphasis"/>
        </w:rPr>
        <w:t>NR4A3</w:t>
      </w:r>
      <w:r>
        <w:rPr/>
        <w:t xml:space="preserve"> under the donor's promoter, a lesion of another kind rather than none. A donor joined to the first coding exon — transcript exon 3 — does yield a chimera. On that reading USZ22-EMC2 carries the junction the </w:t>
      </w:r>
      <w:r>
        <w:rPr>
          <w:rStyle w:val="Emphasis"/>
        </w:rPr>
        <w:t>TAF15</w:t>
      </w:r>
      <w:r>
        <w:rPr/>
        <w:t xml:space="preserve"> reagent spans, and USZ20-EMC1 carries </w:t>
      </w:r>
      <w:r>
        <w:rPr>
          <w:rStyle w:val="Emphasis"/>
        </w:rPr>
        <w:t>EWSR1</w:t>
      </w:r>
      <w:r>
        <w:rPr/>
        <w:t xml:space="preserve"> exon 13 joined to exon 3 — the third design named above, not a reagent named for synthesis. This is an inference and not a determination, and the requirement below is unchanged. The released builder emits an exon-2 acceptor in two cases only: a seam a published report places a patient at, and one the user supplies from their own sequencing, checked against the builder's transcript models.</w:t>
      </w:r>
    </w:p>
    <w:p>
      <w:pPr>
        <w:pStyle w:val="BodyText"/>
        <w:bidi w:val="0"/>
        <w:rPr/>
      </w:pPr>
      <w:r>
        <w:rPr/>
        <w:t xml:space="preserve">Reagents exist at both acceptors: 5′-AGTGGGCTCTCCACGG-3′ at </w:t>
      </w:r>
      <w:r>
        <w:rPr>
          <w:rStyle w:val="Emphasis"/>
        </w:rPr>
        <w:t>EWSR1</w:t>
      </w:r>
      <w:r>
        <w:rPr/>
        <w:t xml:space="preserve"> exon 13 to exon 2 and 5′-AGTGGGCTCTTGTGTG-3′ at </w:t>
      </w:r>
      <w:r>
        <w:rPr>
          <w:rStyle w:val="Emphasis"/>
        </w:rPr>
        <w:t>TAF15</w:t>
      </w:r>
      <w:r>
        <w:rPr/>
        <w:t xml:space="preserve"> exon 6 to exon 2, both at the panel's top margin. Neither of the two reaches the ten-base-pair criterion, and their longest wild-type parent duplexes through the whole gap are eight base pairs against wild-type </w:t>
      </w:r>
      <w:r>
        <w:rPr>
          <w:rStyle w:val="Emphasis"/>
        </w:rPr>
        <w:t>EWSR1</w:t>
      </w:r>
      <w:r>
        <w:rPr/>
        <w:t xml:space="preserve"> and nine against wild-type </w:t>
      </w:r>
      <w:r>
        <w:rPr>
          <w:rStyle w:val="Emphasis"/>
        </w:rPr>
        <w:t>NR4A3</w:t>
      </w:r>
      <w:r>
        <w:rPr/>
        <w:t xml:space="preserve"> — the second against the acceptor parent on which the selectivity ratio is defined, a closer call than either exon-3 reagent presents. A reagent selected for one acceptor is not valid for the other.</w:t>
      </w:r>
    </w:p>
    <w:p>
      <w:pPr>
        <w:pStyle w:val="BodyText"/>
        <w:bidi w:val="0"/>
        <w:rPr/>
      </w:pPr>
      <w:r>
        <w:rPr/>
        <w:t xml:space="preserve">One requirement is upstream of all of them: the test article's breakpoint must be established at nucleotide resolution by RNA sequencing before any oligonucleotide is ordered: most designs here are specific to the exon pair they were tiled at, and nine of the panel's 176 distinct sequences match at more than one. Routine diagnosis does not supply the seam, since break-apart </w:t>
      </w:r>
      <w:r>
        <w:rPr>
          <w:rStyle w:val="Emphasis"/>
        </w:rPr>
        <w:t>NR4A3</w:t>
      </w:r>
      <w:r>
        <w:rPr/>
        <w:t xml:space="preserve"> fluorescence in situ hybridisation detects a rearrangement irrespective of partner[4].</w:t>
      </w:r>
    </w:p>
    <w:p>
      <w:pPr>
        <w:pStyle w:val="Heading3"/>
        <w:bidi w:val="0"/>
        <w:jc w:val="left"/>
        <w:rPr/>
      </w:pPr>
      <w:r>
        <w:rPr/>
        <w:t>Controls for the knockdown experiment</w:t>
      </w:r>
    </w:p>
    <w:p>
      <w:pPr>
        <w:pStyle w:val="BodyText"/>
        <w:bidi w:val="0"/>
        <w:rPr/>
      </w:pPr>
      <w:r>
        <w:rPr/>
        <w:t xml:space="preserve">Two controls are named as sequences (Table 2): a dinucleotide-preserving scramble of each reagent, drawn and then put through the same mature-parent screen the reagent passed. That screening is what makes a scramble a control — 10.0% of such scrambles pair a parent's whole catalytic gap at the ten-base-pair criterion, and for 3.9% the longest is wild-type </w:t>
      </w:r>
      <w:r>
        <w:rPr>
          <w:rStyle w:val="Emphasis"/>
        </w:rPr>
        <w:t>NR4A3</w:t>
      </w:r>
      <w:r>
        <w:rPr/>
        <w:t>. Clearing the screen is not a claim of inertness; it is the property a negative control has to have.</w:t>
      </w:r>
    </w:p>
    <w:p>
      <w:pPr>
        <w:pStyle w:val="Heading2"/>
        <w:bidi w:val="0"/>
        <w:jc w:val="left"/>
        <w:rPr/>
      </w:pPr>
      <w:r>
        <w:rPr/>
        <w:t>Discussion</w:t>
      </w:r>
    </w:p>
    <w:p>
      <w:pPr>
        <w:pStyle w:val="Heading3"/>
        <w:bidi w:val="0"/>
        <w:jc w:val="left"/>
        <w:rPr/>
      </w:pPr>
      <w:r>
        <w:rPr/>
        <w:t>The falsification experiment</w:t>
      </w:r>
    </w:p>
    <w:p>
      <w:pPr>
        <w:pStyle w:val="BodyText"/>
        <w:bidi w:val="0"/>
        <w:rPr/>
      </w:pPr>
      <w:r>
        <w:rPr/>
        <w:t xml:space="preserve">An isogenic fusion-positive against fusion-negative comparison has been run in an analogous fusion sarcoma, against </w:t>
      </w:r>
      <w:r>
        <w:rPr>
          <w:rStyle w:val="Emphasis"/>
        </w:rPr>
        <w:t>NAB2::STAT6</w:t>
      </w:r>
      <w:r>
        <w:rPr/>
        <w:t xml:space="preserve"> in solitary fibrous tumour[23]. It is specified here for these reagents, with the two screened controls above; a knockdown assay alone separates none of the failure modes they exist to separate.</w:t>
      </w:r>
    </w:p>
    <w:p>
      <w:pPr>
        <w:pStyle w:val="BodyText"/>
        <w:bidi w:val="0"/>
        <w:rPr/>
      </w:pPr>
      <w:r>
        <w:rPr/>
        <w:t xml:space="preserve">Selectivity is the ratio of two half-maximal knockdown concentrations: wild-type </w:t>
      </w:r>
      <w:r>
        <w:rPr>
          <w:rStyle w:val="Emphasis"/>
        </w:rPr>
        <w:t>NR4A3</w:t>
      </w:r>
      <w:r>
        <w:rPr/>
        <w:t xml:space="preserve"> over the fusion, from a matched dose-response in the same wells. Its form and the cut of 5.0 are adopted here as conventions, not from the framework's third step[14]. At an assumed replicate standard deviation of 0.35 on the natural-log scale — also adopted for pre-registration, not measured — six independent biological replicates give about 80% power to falsify a true selectivity of 3 and three give about 30%. Above a realised standard deviation of about 0.65 at three replicates — 1.53 at six, 2.25 at ten — no observed ratio at or above one can put the upper limit of a two-sided 95% interval below 5, so the test can fail only on an anti-selective reading. Those figures are computed on that interval; a normal-approximation interval would move them. Such a test is void, and voidness is a property of the realised variance rather than of the design, so the gate applies to the upper confidence bound on a pilot's standard deviation: at or above the void figure for the count proposed, the decision is more replicates or no test, never three. The threshold is defined on the acceptor parent alone, so a reagent can clear it while pairing another transcript through its whole gap. For both reagents named here that transcript is wild-type </w:t>
      </w:r>
      <w:r>
        <w:rPr>
          <w:rStyle w:val="Emphasis"/>
        </w:rPr>
        <w:t>TFG</w:t>
      </w:r>
      <w:r>
        <w:rPr/>
        <w:t>, at eight and nine base pairs — a gene neither fusion involves, and one to read alongside the acceptor.</w:t>
      </w:r>
    </w:p>
    <w:p>
      <w:pPr>
        <w:pStyle w:val="Heading3"/>
        <w:bidi w:val="0"/>
        <w:jc w:val="left"/>
        <w:rPr/>
      </w:pPr>
      <w:r>
        <w:rPr/>
        <w:t>Interpretation and limits</w:t>
      </w:r>
    </w:p>
    <w:p>
      <w:pPr>
        <w:pStyle w:val="BodyText"/>
        <w:bidi w:val="0"/>
        <w:rPr/>
      </w:pPr>
      <w:r>
        <w:rPr/>
        <w:t xml:space="preserve">Designability is not the constraint: junction-spanning designs exist at every in-frame </w:t>
      </w:r>
      <w:r>
        <w:rPr>
          <w:rStyle w:val="Emphasis"/>
        </w:rPr>
        <w:t>NR4A3</w:t>
      </w:r>
      <w:r>
        <w:rPr/>
        <w:t xml:space="preserve"> fusion junction modelled here.</w:t>
      </w:r>
    </w:p>
    <w:p>
      <w:pPr>
        <w:pStyle w:val="BodyText"/>
        <w:bidi w:val="0"/>
        <w:rPr/>
      </w:pPr>
      <w:r>
        <w:rPr/>
        <w:t xml:space="preserve">The constraint is discrimination between the fusion and its parents, and it is not resolved here. The wild-type liability that follows from a junction design's construction is its own parent, in the mature transcript or across a splice junction in precursor RNA. It is not the strongest liability these screens return: no design's own parent pairs more than 13 base pairs in either compartment, against the whole 16 for the eight fully paired off-target duplexes above, five of them curated records. That is a bound, not a ranking — the parent arm reads six transcripts and the energy screen excludes parent records by name — and the two parent compartments are searched before any molecule exists. The mature-transcript screen condemns on a ten-base-pair duplex through the gap; the precursor arm condemns on a hit at up to two mismatches with the gap fully paired. Neither restates the other, and their counts may not be added. A third compartment is searched only in the archived deposit: the patient's own un-rearranged </w:t>
      </w:r>
      <w:r>
        <w:rPr>
          <w:rStyle w:val="Emphasis"/>
        </w:rPr>
        <w:t>NR4A3</w:t>
      </w:r>
      <w:r>
        <w:rPr/>
        <w:t xml:space="preserve"> allele, at a two-mismatch ceiling that bounds its class from below. No design this panel selects is condemned by it, but it excludes two registers of the </w:t>
      </w:r>
      <w:r>
        <w:rPr>
          <w:rStyle w:val="Emphasis"/>
        </w:rPr>
        <w:t>EWSR1</w:t>
      </w:r>
      <w:r>
        <w:rPr/>
        <w:t xml:space="preserve"> exon 13 to </w:t>
      </w:r>
      <w:r>
        <w:rPr>
          <w:rStyle w:val="Emphasis"/>
        </w:rPr>
        <w:t>NR4A3</w:t>
      </w:r>
      <w:r>
        <w:rPr/>
        <w:t xml:space="preserve"> exon-2 seam while clearing that reagent — the register hazard noted with the reagents, arriving from a compartment the panel's selection never has to consider.</w:t>
      </w:r>
    </w:p>
    <w:p>
      <w:pPr>
        <w:pStyle w:val="BodyText"/>
        <w:bidi w:val="0"/>
        <w:rPr/>
      </w:pPr>
      <w:r>
        <w:rPr/>
        <w:t xml:space="preserve">The four junction-specificity reports cited here[9-11,24] were all made on molecules already synthesised; no survey of design pipelines was performed, so nothing here is a priority claim about when such a screen was first applied. Whether sparing wild-type </w:t>
      </w:r>
      <w:r>
        <w:rPr>
          <w:rStyle w:val="Emphasis"/>
        </w:rPr>
        <w:t>NR4A3</w:t>
      </w:r>
      <w:r>
        <w:rPr/>
        <w:t xml:space="preserve"> is worth a specificity cost is unsettled — reported paralogue redundancy and dosage effects point in opposite directions — and the archived deposit does not resolve it.</w:t>
      </w:r>
    </w:p>
    <w:p>
      <w:pPr>
        <w:pStyle w:val="BodyText"/>
        <w:bidi w:val="0"/>
        <w:rPr/>
      </w:pPr>
      <w:r>
        <w:rPr/>
        <w:t>Three limits bound what any test of these reagents could show. All five screens address hybridisation rather than cleavage, and none establishes that a predicted duplex forms or is cut. The method-level novelty is nil: junction-directed oligonucleotides are long established, and what is new here is the indication. And systemic delivery to a solid tumour remains unsolved, the gate this modality faces after any result reported here. Every source of a test article named here ends at someone culturing cells.</w:t>
      </w:r>
    </w:p>
    <w:p>
      <w:pPr>
        <w:pStyle w:val="Heading2"/>
        <w:bidi w:val="0"/>
        <w:jc w:val="left"/>
        <w:rPr/>
      </w:pPr>
      <w:r>
        <w:rPr/>
        <w:t>Acknowledgments</w:t>
      </w:r>
    </w:p>
    <w:p>
      <w:pPr>
        <w:pStyle w:val="BodyText"/>
        <w:bidi w:val="0"/>
        <w:rPr/>
      </w:pPr>
      <w:r>
        <w:rPr/>
        <w:t>No person other than the author contributed to this work.</w:t>
      </w:r>
    </w:p>
    <w:p>
      <w:pPr>
        <w:pStyle w:val="BodyText"/>
        <w:bidi w:val="0"/>
        <w:rPr/>
      </w:pPr>
      <w:r>
        <w:rPr/>
        <w:t>T.D.M. is the sole author, and is responsible for the conception and design of the study, the analysis code, the screens and their interpretation, and the drafting and revision of this manuscript.</w:t>
      </w:r>
    </w:p>
    <w:p>
      <w:pPr>
        <w:pStyle w:val="Heading2"/>
        <w:bidi w:val="0"/>
        <w:jc w:val="left"/>
        <w:rPr/>
      </w:pPr>
      <w:r>
        <w:rPr/>
        <w:t>Author Disclosure Statement</w:t>
      </w:r>
    </w:p>
    <w:p>
      <w:pPr>
        <w:pStyle w:val="BodyText"/>
        <w:bidi w:val="0"/>
        <w:rPr/>
      </w:pPr>
      <w:r>
        <w:rPr/>
        <w:t>No competing financial interests exist. The author holds no patent, patent application, equity or consultancy relating to any sequence or method described here.</w:t>
      </w:r>
    </w:p>
    <w:p>
      <w:pPr>
        <w:pStyle w:val="Heading2"/>
        <w:bidi w:val="0"/>
        <w:jc w:val="left"/>
        <w:rPr/>
      </w:pPr>
      <w:r>
        <w:rPr/>
        <w:t>Statements and Declarations</w:t>
      </w:r>
    </w:p>
    <w:p>
      <w:pPr>
        <w:pStyle w:val="BodyText"/>
        <w:bidi w:val="0"/>
        <w:rPr/>
      </w:pPr>
      <w:r>
        <w:rPr>
          <w:rStyle w:val="Strong"/>
        </w:rPr>
        <w:t>Research use only, and not for administration to any person or animal.</w:t>
      </w:r>
      <w:r>
        <w:rPr/>
        <w:t xml:space="preserve"> Every sequence here is a research reagent for laboratory investigation only, and none has been synthesised or tested. Order from the canonical record, </w:t>
      </w:r>
      <w:r>
        <w:rPr>
          <w:rStyle w:val="SourceText"/>
        </w:rPr>
        <w:t>fusion-junction-aso-sequences.csv</w:t>
      </w:r>
      <w:r>
        <w:rPr/>
        <w:t>, which specifies the sequence, every locked residue and the backbone, and not until the breakpoint has been established at nucleotide resolution by RNA sequencing.</w:t>
      </w:r>
    </w:p>
    <w:p>
      <w:pPr>
        <w:pStyle w:val="BodyText"/>
        <w:bidi w:val="0"/>
        <w:rPr/>
      </w:pPr>
      <w:r>
        <w:rPr>
          <w:rStyle w:val="Strong"/>
        </w:rPr>
        <w:t>Ethical considerations.</w:t>
      </w:r>
      <w:r>
        <w:rPr/>
        <w:t xml:space="preserve"> Not applicable. No human subjects, human material or animals were involved, and no ethics approval was required.</w:t>
      </w:r>
    </w:p>
    <w:p>
      <w:pPr>
        <w:pStyle w:val="BodyText"/>
        <w:bidi w:val="0"/>
        <w:rPr/>
      </w:pPr>
      <w:r>
        <w:rPr>
          <w:rStyle w:val="Strong"/>
        </w:rPr>
        <w:t>Consent to participate.</w:t>
      </w:r>
      <w:r>
        <w:rPr/>
        <w:t xml:space="preserve"> Not applicable. No participants were enrolled.</w:t>
      </w:r>
    </w:p>
    <w:p>
      <w:pPr>
        <w:pStyle w:val="BodyText"/>
        <w:bidi w:val="0"/>
        <w:rPr/>
      </w:pPr>
      <w:r>
        <w:rPr>
          <w:rStyle w:val="Strong"/>
        </w:rPr>
        <w:t>Consent for publication.</w:t>
      </w:r>
      <w:r>
        <w:rPr/>
        <w:t xml:space="preserve"> Not applicable. The manuscript contains no data from any individual person.</w:t>
      </w:r>
    </w:p>
    <w:p>
      <w:pPr>
        <w:pStyle w:val="BodyText"/>
        <w:bidi w:val="0"/>
        <w:rPr/>
      </w:pPr>
      <w:r>
        <w:rPr>
          <w:rStyle w:val="Strong"/>
        </w:rPr>
        <w:t>Funding statement.</w:t>
      </w:r>
      <w:r>
        <w:rPr/>
        <w:t xml:space="preserve"> No external funding; self-funded by the author.</w:t>
      </w:r>
    </w:p>
    <w:p>
      <w:pPr>
        <w:pStyle w:val="BodyText"/>
        <w:bidi w:val="0"/>
        <w:rPr/>
      </w:pPr>
      <w:r>
        <w:rPr>
          <w:rStyle w:val="Strong"/>
        </w:rPr>
        <w:t>Use of artificial intelligence.</w:t>
      </w:r>
      <w:r>
        <w:rPr/>
        <w:t xml:space="preserve"> A large language model (Claude, Anthropic) was used throughout this work: to write and review the analysis code, to run the screens, to retrieve and check literature, and to draft and revise this manuscript. Every reference's bibliographic record was retrieved from PubMed, Europe PMC or Crossref rather than written from model output, and each citation was checked against the retrieved record. The author directed all work reported here and is responsible for its content.</w:t>
      </w:r>
    </w:p>
    <w:p>
      <w:pPr>
        <w:pStyle w:val="BodyText"/>
        <w:bidi w:val="0"/>
        <w:rPr/>
      </w:pPr>
      <w:r>
        <w:rPr>
          <w:rStyle w:val="Strong"/>
        </w:rPr>
        <w:t>Data availability.</w:t>
      </w:r>
      <w:r>
        <w:rPr/>
        <w:t xml:space="preserve"> All code, graded artefacts, per-design tables, every screen's parameters and the complete bounds on each claim are deposited under </w:t>
      </w:r>
      <w:hyperlink r:id="rId3">
        <w:r>
          <w:rPr>
            <w:rStyle w:val="Hyperlink"/>
          </w:rPr>
          <w:t>doi:10.5281/zenodo.22229096</w:t>
        </w:r>
      </w:hyperlink>
      <w:r>
        <w:rPr/>
        <w:t>, the citable record for them. An earlier version of these analyses placed the acceptor junction incorrectly through a coding-versus-transcript exon indexing error and was withdrawn in full; the panels were rebuilt and verified, and the complete correction record is released with the archive.</w:t>
      </w:r>
    </w:p>
    <w:p>
      <w:pPr>
        <w:pStyle w:val="Heading2"/>
        <w:bidi w:val="0"/>
        <w:jc w:val="left"/>
        <w:rPr/>
      </w:pPr>
      <w:r>
        <w:rPr/>
        <w:t>References</w:t>
      </w:r>
    </w:p>
    <w:p>
      <w:pPr>
        <w:pStyle w:val="BodyText"/>
        <w:numPr>
          <w:ilvl w:val="0"/>
          <w:numId w:val="1"/>
        </w:numPr>
        <w:tabs>
          <w:tab w:val="clear" w:pos="709"/>
          <w:tab w:val="left" w:pos="709" w:leader="none"/>
        </w:tabs>
        <w:bidi w:val="0"/>
        <w:spacing w:before="0" w:after="0"/>
        <w:ind w:hanging="283" w:left="709" w:right="0"/>
        <w:rPr/>
      </w:pPr>
      <w:bookmarkStart w:id="0" w:name="references-list"/>
      <w:bookmarkEnd w:id="0"/>
      <w:r>
        <w:rPr/>
        <w:t xml:space="preserve">Labelle Y, J Zucman, G Stenman, LG Kindblom, J Knight, C Turc-Carel, B Dockhorn-Dworniczak, N Mandahl, C Desmaze, et al. (1995). Oncogenic conversion of a novel orphan nuclear receptor by chromosome translocation. Hum Mol Genet 4:2219–2226. </w:t>
      </w:r>
      <w:hyperlink r:id="rId4">
        <w:r>
          <w:rPr>
            <w:rStyle w:val="Hyperlink"/>
          </w:rPr>
          <w:t>doi:10.1093/hmg/4.12.2219</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Paioli A, S Stacchiotti, D Campanacci, E Palmerini, AM Frezza, A Longhi, S Radaelli, DM Donati, G Beltrami, et al. (2021). Extraskeletal Myxoid Chondrosarcoma with Molecularly Confirmed Diagnosis: A Multicenter Retrospective Study Within the Italian Sarcoma Group. Ann Surg Oncol 28:1142–1150. </w:t>
      </w:r>
      <w:hyperlink r:id="rId5">
        <w:r>
          <w:rPr>
            <w:rStyle w:val="Hyperlink"/>
          </w:rPr>
          <w:t>doi:10.1245/s10434-020-08737-7</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Chen X, X He, R Peng, M Chen and H Zhang. (2026). A series of extraskeletal myxoid chondrosarcomas with rare morphological and molecular variations. Histopathology 89:181–188. </w:t>
      </w:r>
      <w:hyperlink r:id="rId6">
        <w:r>
          <w:rPr>
            <w:rStyle w:val="Hyperlink"/>
          </w:rPr>
          <w:t>doi:10.1111/his.70131</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Remiszewski P, S Falkowski, A Szumera-Ciećkiewicz, MJ Spałek, P Rutkowski and AM Czarnecka. (2025). From pathogenesis to the patient's bedside: a comprehensive review of extraskeletal myxoid chondrosarcoma. J Cancer Res Clin Oncol 151:283. </w:t>
      </w:r>
      <w:hyperlink r:id="rId7">
        <w:r>
          <w:rPr>
            <w:rStyle w:val="Hyperlink"/>
          </w:rPr>
          <w:t>doi:10.1007/s00432-025-06316-5</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Stacchiotti S, GP Dagrada, R Sanfilippo, T Negri, I Vittimberga, S Ferrari, F Grosso, G Apice, M Tricomi, et al. (2013). Anthracycline-based chemotherapy in extraskeletal myxoid chondrosarcoma: a retrospective study. Clin Sarcoma Res 3:16. </w:t>
      </w:r>
      <w:hyperlink r:id="rId8">
        <w:r>
          <w:rPr>
            <w:rStyle w:val="Hyperlink"/>
          </w:rPr>
          <w:t>doi:10.1186/2045-3329-3-16</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Stacchiotti S, S Ferrari, A Redondo, N Hindi, E Palmerini, MA Vaz Salgado, AM Frezza, PG Casali, A Gutierrez, et al. (2019). Pazopanib for treatment of advanced extraskeletal myxoid chondrosarcoma: a multicentre, single-arm, phase 2 trial. Lancet Oncol 20:1252–1262. </w:t>
      </w:r>
      <w:hyperlink r:id="rId9">
        <w:r>
          <w:rPr>
            <w:rStyle w:val="Hyperlink"/>
          </w:rPr>
          <w:t>doi:10.1016/S1470-2045(19)30319-5</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Skórski T, C Szczylik, L Malaguarnera and B Calabretta. (1991). Gene-targeted specific inhibition of chronic myeloid leukemia cell growth by BCR-ABL antisense oligodeoxynucleotides. Folia Histochem Cytobiol 29:85–89. </w:t>
      </w:r>
    </w:p>
    <w:p>
      <w:pPr>
        <w:pStyle w:val="BodyText"/>
        <w:numPr>
          <w:ilvl w:val="0"/>
          <w:numId w:val="1"/>
        </w:numPr>
        <w:tabs>
          <w:tab w:val="clear" w:pos="709"/>
          <w:tab w:val="left" w:pos="709" w:leader="none"/>
        </w:tabs>
        <w:bidi w:val="0"/>
        <w:spacing w:before="0" w:after="0"/>
        <w:ind w:hanging="283" w:left="709"/>
        <w:rPr/>
      </w:pPr>
      <w:r>
        <w:rPr/>
        <w:t xml:space="preserve">Toretsky JA, Y Connell, L Neckers and NK Bhat. (1997). Inhibition of EWS-FLI-1 fusion protein with antisense oligodeoxynucleotides. J Neurooncol 31:9–16. </w:t>
      </w:r>
      <w:hyperlink r:id="rId10">
        <w:r>
          <w:rPr>
            <w:rStyle w:val="Hyperlink"/>
          </w:rPr>
          <w:t>doi:10.1023/a:1005716926800</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Parker Kerrigan BC, D Ledbetter, M Kronowitz, L Phillips, J Gumin, A Hossain, J Yang, M Mendt, S Singh, et al. (2020). RNAi technology targeting the FGFR3-TACC3 fusion breakpoint: an opportunity for precision medicine. Neurooncol Adv 2:vdaa132. </w:t>
      </w:r>
      <w:hyperlink r:id="rId11">
        <w:r>
          <w:rPr>
            <w:rStyle w:val="Hyperlink"/>
          </w:rPr>
          <w:t>doi:10.1093/noajnl/vdaa132</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Ward SV, T Sternsdorf and NB Woods. (2011). Targeting expression of the leukemogenic PML-RARα fusion protein by lentiviral vector-mediated small interfering RNA results in leukemic cell differentiation and apoptosis. Hum Gene Ther 22:1593–1598. </w:t>
      </w:r>
      <w:hyperlink r:id="rId12">
        <w:r>
          <w:rPr>
            <w:rStyle w:val="Hyperlink"/>
          </w:rPr>
          <w:t>doi:10.1089/hum.2011.079</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Shao L, I Tekedereli, J Wang, E Yuca, S Tsang, A Sood, G Lopez-Berestein, B Ozpolat and M Ittmann. (2012). Highly specific targeting of the TMPRSS2/ERG fusion gene using liposomal nanovectors. Clin Cancer Res 18:6648–6657. </w:t>
      </w:r>
      <w:hyperlink r:id="rId13">
        <w:r>
          <w:rPr>
            <w:rStyle w:val="Hyperlink"/>
          </w:rPr>
          <w:t>doi:10.1158/1078-0432.ccr-12-2715</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Neumayer C, D Ng, D Requena, CS Jiang, A Qureshi, R Vaughan, TP Prakash, A Revenko and SM Simon. (2024). GalNAc-conjugated siRNA targeting the DNAJB1-PRKACA fusion junction in fibrolamellar hepatocellular carcinoma. Mol Ther 32:140–151. </w:t>
      </w:r>
      <w:hyperlink r:id="rId14">
        <w:r>
          <w:rPr>
            <w:rStyle w:val="Hyperlink"/>
          </w:rPr>
          <w:t>doi:10.1016/j.ymthe.2023.11.012</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Kauppinen S, B Vester and J Wengel. (2005). Locked nucleic acid (LNA): High affinity targeting of RNA for diagnostics and therapeutics. Drug Discov Today Technol 2:287–290. </w:t>
      </w:r>
      <w:hyperlink r:id="rId15">
        <w:r>
          <w:rPr>
            <w:rStyle w:val="Hyperlink"/>
          </w:rPr>
          <w:t>doi:10.1016/j.ddtec.2005.08.012</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Andersson P, SA Burel, H Estrella, J Foy, PH Hagedorn, TA Harper Jr, SP Henry, JC Hoflack, EM Holgersen, et al. (2025). Assessing Hybridization-Dependent Off-Target Risk for Therapeutic Oligonucleotides: Updated Industry Recommendations. Nucleic Acid Ther 35:16–33. </w:t>
      </w:r>
      <w:hyperlink r:id="rId16">
        <w:r>
          <w:rPr>
            <w:rStyle w:val="Hyperlink"/>
          </w:rPr>
          <w:t>doi:10.1089/nat.2024.0072</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Dyer SC, O Austine-Orimoloye, AG Azov, M Barba, I Barnes, VP Barrera-Enriquez, A Becker, R Bennett, M Beracochea, et al. (2025). Ensembl 2025. Nucleic Acids Res 53:D948–D957. </w:t>
      </w:r>
      <w:hyperlink r:id="rId17">
        <w:r>
          <w:rPr>
            <w:rStyle w:val="Hyperlink"/>
          </w:rPr>
          <w:t>doi:10.1093/nar/gkae1071</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Sugimoto N, S Nakano, M Katoh, A Matsumura, H Nakamuta, T Ohmichi, M Yoneyama and M Sasaki. (1995). Thermodynamic parameters to predict stability of RNA/DNA hybrid duplexes. Biochemistry 34:11211–11216. </w:t>
      </w:r>
      <w:hyperlink r:id="rId18">
        <w:r>
          <w:rPr>
            <w:rStyle w:val="Hyperlink"/>
          </w:rPr>
          <w:t>doi:10.1021/bi00035a029</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Panagopoulos I, F Mertens, M Isaksson, HA Domanski, O Brosjö, S Heim, B Bjerkehagen, R Sciot, P Dal Cin, et al. (2002). Molecular genetic characterization of the EWS/CHN and RBP56/CHN fusion genes in extraskeletal myxoid chondrosarcoma. Genes Chromosomes Cancer 35:340–352. </w:t>
      </w:r>
      <w:hyperlink r:id="rId19">
        <w:r>
          <w:rPr>
            <w:rStyle w:val="Hyperlink"/>
          </w:rPr>
          <w:t>doi:10.1002/gcc.10127</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Huang SC, JC Lee, YC Hsu, JW Tsai, YC Kao, TH Hsieh, YM Chang, KC Chang, PS Wu, et al. (2023). Extraskeletal Myxoid Chondrosarcomas: The Uncommon Clinicopathologic Manifestations and Significance of TAF15::NR4A3 Fusion. Mod Pathol 36:100161. </w:t>
      </w:r>
      <w:hyperlink r:id="rId20">
        <w:r>
          <w:rPr>
            <w:rStyle w:val="Hyperlink"/>
          </w:rPr>
          <w:t>doi:10.1016/j.modpat.2023.100161</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Urbini M, V Indio, A Astolfi, G Tarantino, SL Renne, S Pilotti, AP Dei Tos, R Maestro, P Collini, et al. (2018). Identification of an Actionable Mutation of KIT in a Case of Extraskeletal Myxoid Chondrosarcoma. Int J Mol Sci 19:E1855. </w:t>
      </w:r>
      <w:hyperlink r:id="rId21">
        <w:r>
          <w:rPr>
            <w:rStyle w:val="Hyperlink"/>
          </w:rPr>
          <w:t>doi:10.3390/ijms19071855</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Wilbur HC, DR Robinson, YM Wu, C Kumar-Sinha, AM Chinnaiyan and R Chugh. (2022). Identification of Novel PGR-NR4A3 Fusion in Extraskeletal Myxoid Chondrosarcoma and Resultant Patient Benefit From Tamoxifen Therapy. JCO Precis Oncol 6:e2200039. </w:t>
      </w:r>
      <w:hyperlink r:id="rId22">
        <w:r>
          <w:rPr>
            <w:rStyle w:val="Hyperlink"/>
          </w:rPr>
          <w:t>doi:10.1200/po.22.00039</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Brenca M, S Stacchiotti, K Fassetta, M Sbaraglia, M Janjusevic, D Racanelli, M Polano, S Rossi, S Brich, et al. (2019). NR4A3 fusion proteins trigger an axon guidance switch that marks the difference between EWSR1 and TAF15 translocated extraskeletal myxoid chondrosarcomas. J Pathol 249:90–101. </w:t>
      </w:r>
      <w:hyperlink r:id="rId23">
        <w:r>
          <w:rPr>
            <w:rStyle w:val="Hyperlink"/>
          </w:rPr>
          <w:t>doi:10.1002/path.5284</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Bangerter JL, KJ Harnisch, Y Chen, C Hagedorn, L Planas-Paz and C Pauli. (2023). Establishment, characterization and functional testing of two novel ex vivo extraskeletal myxoid chondrosarcoma (EMC) cell models. Hum Cell 36:446–455. </w:t>
      </w:r>
      <w:hyperlink r:id="rId24">
        <w:r>
          <w:rPr>
            <w:rStyle w:val="Hyperlink"/>
          </w:rPr>
          <w:t>doi:10.1007/s13577-022-00818-x</w:t>
        </w:r>
      </w:hyperlink>
      <w:r>
        <w:rPr/>
        <w:t xml:space="preserve"> </w:t>
      </w:r>
    </w:p>
    <w:p>
      <w:pPr>
        <w:pStyle w:val="BodyText"/>
        <w:numPr>
          <w:ilvl w:val="0"/>
          <w:numId w:val="1"/>
        </w:numPr>
        <w:tabs>
          <w:tab w:val="clear" w:pos="709"/>
          <w:tab w:val="left" w:pos="709" w:leader="none"/>
        </w:tabs>
        <w:bidi w:val="0"/>
        <w:spacing w:before="0" w:after="0"/>
        <w:ind w:hanging="283" w:left="709"/>
        <w:rPr/>
      </w:pPr>
      <w:r>
        <w:rPr/>
        <w:t xml:space="preserve">Li Y, JT Nguyen, M Ammanamanchi, Z Zhou, EF Harbut, JL Mondaza-Hernandez, CA Meyer, DS Moura, J Martin-Broto, HN Hayenga and L Bleris. (2023). Reduction of Tumor Growth with RNA-Targeting Treatment of the NAB2-STAT6 Fusion Transcript in Solitary Fibrous Tumor Models. Cancers (Basel) 15:3127. </w:t>
      </w:r>
      <w:hyperlink r:id="rId25">
        <w:r>
          <w:rPr>
            <w:rStyle w:val="Hyperlink"/>
          </w:rPr>
          <w:t>doi:10.3390/cancers15123127</w:t>
        </w:r>
      </w:hyperlink>
      <w:r>
        <w:rPr/>
        <w:t xml:space="preserve"> </w:t>
      </w:r>
    </w:p>
    <w:p>
      <w:pPr>
        <w:pStyle w:val="BodyText"/>
        <w:numPr>
          <w:ilvl w:val="0"/>
          <w:numId w:val="1"/>
        </w:numPr>
        <w:tabs>
          <w:tab w:val="clear" w:pos="709"/>
          <w:tab w:val="left" w:pos="709" w:leader="none"/>
        </w:tabs>
        <w:bidi w:val="0"/>
        <w:ind w:hanging="283" w:left="709"/>
        <w:rPr/>
      </w:pPr>
      <w:r>
        <w:rPr/>
        <w:t xml:space="preserve">Lee MS, S An, JY Song, M Sung, K Jung, ES Chang, J Choi, DY Oh, YK Jeon, et al. (2023). Cancer-Specific Sequences in the Diagnosis and Treatment of NUT Carcinoma. Cancer Res Treat 55:452–467. </w:t>
      </w:r>
      <w:hyperlink r:id="rId26">
        <w:r>
          <w:rPr>
            <w:rStyle w:val="Hyperlink"/>
          </w:rPr>
          <w:t>doi:10.4143/crt.2022.910</w:t>
        </w:r>
      </w:hyperlink>
      <w:r>
        <w:rPr/>
        <w:t xml:space="preserve"> </w:t>
      </w:r>
    </w:p>
    <w:p>
      <w:pPr>
        <w:pStyle w:val="Heading2"/>
        <w:bidi w:val="0"/>
        <w:jc w:val="left"/>
        <w:rPr/>
      </w:pPr>
      <w:r>
        <w:rPr/>
        <w:t>Tables</w:t>
      </w:r>
    </w:p>
    <w:p>
      <w:pPr>
        <w:pStyle w:val="BodyText"/>
        <w:bidi w:val="0"/>
        <w:rPr/>
      </w:pPr>
      <w:r>
        <w:rPr>
          <w:rStyle w:val="Emphasis"/>
        </w:rPr>
        <w:t xml:space="preserve">Every value in the tables below is read from a committed artifact and none is typed by hand: the reagents from </w:t>
      </w:r>
      <w:r>
        <w:rPr>
          <w:rStyle w:val="SourceText"/>
        </w:rPr>
        <w:t>fusion-junction-aso-sequences.csv</w:t>
      </w:r>
      <w:r>
        <w:rPr>
          <w:rStyle w:val="Emphasis"/>
        </w:rPr>
        <w:t xml:space="preserve">, the canonical machine-readable record, and the controls from </w:t>
      </w:r>
      <w:r>
        <w:rPr>
          <w:rStyle w:val="SourceTextbrk"/>
        </w:rPr>
        <w:t>aso-control-oligos.json</w:t>
      </w:r>
      <w:r>
        <w:rPr>
          <w:rStyle w:val="Emphasis"/>
        </w:rPr>
        <w:t>, either directly or composed from their fields. The captions carry literature facts, each with its source named there. Every reagent named here is a 5-6-5 phosphorothioate gapmer. An oligonucleotide should be ordered from that file rather than transcribed from this page.</w:t>
      </w:r>
    </w:p>
    <w:p>
      <w:pPr>
        <w:pStyle w:val="BodyText"/>
        <w:bidi w:val="0"/>
        <w:rPr/>
      </w:pPr>
      <w:r>
        <w:rPr>
          <w:rStyle w:val="Strong"/>
        </w:rPr>
        <w:t>Table 1. The two reagents named for synthesis, with their parent-duplex label.</w:t>
      </w:r>
      <w:r>
        <w:rPr/>
        <w:t xml:space="preserve"> The parent-duplex column is the longest contiguous duplex a mature wild-type parent forms through the catalytic gap; neither reagent reaches the ten-base-pair criterion, so the length is printed rather than a pass mark. The test articles are the engineered constructs of Brenca et al. (</w:t>
      </w:r>
      <w:hyperlink r:id="rId27">
        <w:r>
          <w:rPr>
            <w:rStyle w:val="Hyperlink"/>
          </w:rPr>
          <w:t>PMID: 31020999</w:t>
        </w:r>
      </w:hyperlink>
      <w:r>
        <w:rPr/>
        <w:t xml:space="preserve">) — E-N for the </w:t>
      </w:r>
      <w:r>
        <w:rPr>
          <w:rStyle w:val="Emphasis"/>
        </w:rPr>
        <w:t>EWSR1</w:t>
      </w:r>
      <w:r>
        <w:rPr/>
        <w:t xml:space="preserve"> reagent and T-N* for the </w:t>
      </w:r>
      <w:r>
        <w:rPr>
          <w:rStyle w:val="Emphasis"/>
        </w:rPr>
        <w:t>TAF15</w:t>
      </w:r>
      <w:r>
        <w:rPr/>
        <w:t xml:space="preserve"> reagent; the two patient-derived models of Bangerter et al. (</w:t>
      </w:r>
      <w:hyperlink r:id="rId28">
        <w:r>
          <w:rPr>
            <w:rStyle w:val="Hyperlink"/>
          </w:rPr>
          <w:t>PMID: 36316541</w:t>
        </w:r>
      </w:hyperlink>
      <w:r>
        <w:rPr/>
        <w:t>) are REPORTED at an NR4A3 exon-2 acceptor and match different designs, not these two. ΔTm separates the fusion duplex from the more stable half of the design's own target window, which is a different parent from the duplex column's searched wild-type TFG. The separation is a floor rather than an estimate, for the reason Methods gives; absolute melting points are not reported for a locked, phosphorothioate oligonucleotide. Nothing here has been synthesised or tested, and no sequence may be administered to any person or animal.</w:t>
      </w:r>
    </w:p>
    <w:tbl>
      <w:tblPr>
        <w:tblW w:w="8930" w:type="dxa"/>
        <w:jc w:val="left"/>
        <w:tblInd w:w="0" w:type="dxa"/>
        <w:tblLayout w:type="fixed"/>
        <w:tblCellMar>
          <w:top w:w="28" w:type="dxa"/>
          <w:left w:w="28" w:type="dxa"/>
          <w:bottom w:w="28" w:type="dxa"/>
          <w:right w:w="28" w:type="dxa"/>
        </w:tblCellMar>
      </w:tblPr>
      <w:tblGrid>
        <w:gridCol w:w="2026"/>
        <w:gridCol w:w="2836"/>
        <w:gridCol w:w="751"/>
        <w:gridCol w:w="1861"/>
        <w:gridCol w:w="1456"/>
      </w:tblGrid>
      <w:tr>
        <w:trPr>
          <w:tblHeader w:val="true"/>
        </w:trPr>
        <w:tc>
          <w:tcPr>
            <w:tcW w:w="8930" w:type="dxa"/>
            <w:gridSpan w:val="5"/>
            <w:tcBorders/>
            <w:vAlign w:val="center"/>
          </w:tcPr>
          <w:p>
            <w:pPr>
              <w:pStyle w:val="TableHeading"/>
              <w:suppressLineNumbers/>
              <w:shd w:fill="EAEEF2" w:val="clear"/>
              <w:bidi w:val="0"/>
              <w:jc w:val="left"/>
              <w:rPr/>
            </w:pPr>
            <w:r>
              <w:rPr/>
              <w:t>Table 1</w:t>
            </w:r>
          </w:p>
        </w:tc>
      </w:tr>
      <w:tr>
        <w:trPr>
          <w:tblHeader w:val="true"/>
        </w:trPr>
        <w:tc>
          <w:tcPr>
            <w:tcW w:w="2026" w:type="dxa"/>
            <w:tcBorders/>
            <w:vAlign w:val="center"/>
          </w:tcPr>
          <w:p>
            <w:pPr>
              <w:pStyle w:val="TableHeading"/>
              <w:suppressLineNumbers/>
              <w:shd w:fill="EAEEF2" w:val="clear"/>
              <w:bidi w:val="0"/>
              <w:jc w:val="left"/>
              <w:rPr/>
            </w:pPr>
            <w:r>
              <w:rPr/>
              <w:t>seam</w:t>
            </w:r>
          </w:p>
        </w:tc>
        <w:tc>
          <w:tcPr>
            <w:tcW w:w="2836" w:type="dxa"/>
            <w:tcBorders/>
            <w:vAlign w:val="center"/>
          </w:tcPr>
          <w:p>
            <w:pPr>
              <w:pStyle w:val="TableHeading"/>
              <w:suppressLineNumbers/>
              <w:shd w:fill="EAEEF2" w:val="clear"/>
              <w:bidi w:val="0"/>
              <w:jc w:val="left"/>
              <w:rPr/>
            </w:pPr>
            <w:r>
              <w:rPr/>
              <w:t>reagent</w:t>
            </w:r>
          </w:p>
        </w:tc>
        <w:tc>
          <w:tcPr>
            <w:tcW w:w="751" w:type="dxa"/>
            <w:tcBorders/>
            <w:vAlign w:val="center"/>
          </w:tcPr>
          <w:p>
            <w:pPr>
              <w:pStyle w:val="TableHeading"/>
              <w:suppressLineNumbers/>
              <w:shd w:fill="EAEEF2" w:val="clear"/>
              <w:bidi w:val="0"/>
              <w:jc w:val="left"/>
              <w:rPr/>
            </w:pPr>
            <w:r>
              <w:rPr/>
              <w:t>margin</w:t>
            </w:r>
          </w:p>
        </w:tc>
        <w:tc>
          <w:tcPr>
            <w:tcW w:w="1861" w:type="dxa"/>
            <w:tcBorders/>
            <w:vAlign w:val="center"/>
          </w:tcPr>
          <w:p>
            <w:pPr>
              <w:pStyle w:val="TableHeading"/>
              <w:suppressLineNumbers/>
              <w:shd w:fill="EAEEF2" w:val="clear"/>
              <w:bidi w:val="0"/>
              <w:jc w:val="left"/>
              <w:rPr/>
            </w:pPr>
            <w:r>
              <w:rPr/>
              <w:t>WT gap duplex (bp)</w:t>
            </w:r>
          </w:p>
        </w:tc>
        <w:tc>
          <w:tcPr>
            <w:tcW w:w="1456" w:type="dxa"/>
            <w:tcBorders/>
            <w:vAlign w:val="center"/>
          </w:tcPr>
          <w:p>
            <w:pPr>
              <w:pStyle w:val="TableHeading"/>
              <w:suppressLineNumbers/>
              <w:shd w:fill="EAEEF2" w:val="clear"/>
              <w:bidi w:val="0"/>
              <w:jc w:val="left"/>
              <w:rPr/>
            </w:pPr>
            <w:r>
              <w:rPr/>
              <w:t>ΔTm floor (°C)</w:t>
            </w:r>
          </w:p>
        </w:tc>
      </w:tr>
      <w:tr>
        <w:trPr/>
        <w:tc>
          <w:tcPr>
            <w:tcW w:w="2026" w:type="dxa"/>
            <w:tcBorders/>
            <w:vAlign w:val="center"/>
          </w:tcPr>
          <w:p>
            <w:pPr>
              <w:pStyle w:val="TableContents"/>
              <w:widowControl w:val="false"/>
              <w:suppressLineNumbers/>
              <w:bidi w:val="0"/>
              <w:jc w:val="left"/>
              <w:rPr/>
            </w:pPr>
            <w:r>
              <w:rPr>
                <w:rStyle w:val="Emphasis"/>
              </w:rPr>
              <w:t>EWSR1</w:t>
            </w:r>
            <w:r>
              <w:rPr/>
              <w:t xml:space="preserve"> e12::</w:t>
            </w:r>
            <w:r>
              <w:rPr>
                <w:rStyle w:val="Emphasis"/>
              </w:rPr>
              <w:t>NR4A3</w:t>
            </w:r>
            <w:r>
              <w:rPr/>
              <w:t xml:space="preserve"> e3</w:t>
            </w:r>
          </w:p>
        </w:tc>
        <w:tc>
          <w:tcPr>
            <w:tcW w:w="2836" w:type="dxa"/>
            <w:tcBorders/>
            <w:vAlign w:val="center"/>
          </w:tcPr>
          <w:p>
            <w:pPr>
              <w:pStyle w:val="TableContents"/>
              <w:widowControl w:val="false"/>
              <w:suppressLineNumbers/>
              <w:bidi w:val="0"/>
              <w:jc w:val="left"/>
              <w:rPr/>
            </w:pPr>
            <w:r>
              <w:rPr/>
              <w:t>5′-GGGCATATCATCAAAC-3′</w:t>
            </w:r>
          </w:p>
        </w:tc>
        <w:tc>
          <w:tcPr>
            <w:tcW w:w="751" w:type="dxa"/>
            <w:tcBorders/>
            <w:vAlign w:val="center"/>
          </w:tcPr>
          <w:p>
            <w:pPr>
              <w:pStyle w:val="TableContents"/>
              <w:widowControl w:val="false"/>
              <w:suppressLineNumbers/>
              <w:bidi w:val="0"/>
              <w:jc w:val="left"/>
              <w:rPr/>
            </w:pPr>
            <w:r>
              <w:rPr/>
              <w:t>3</w:t>
            </w:r>
          </w:p>
        </w:tc>
        <w:tc>
          <w:tcPr>
            <w:tcW w:w="1861" w:type="dxa"/>
            <w:tcBorders/>
            <w:vAlign w:val="center"/>
          </w:tcPr>
          <w:p>
            <w:pPr>
              <w:pStyle w:val="TableContents"/>
              <w:widowControl w:val="false"/>
              <w:suppressLineNumbers/>
              <w:bidi w:val="0"/>
              <w:jc w:val="left"/>
              <w:rPr/>
            </w:pPr>
            <w:r>
              <w:rPr/>
              <w:t xml:space="preserve">8 bp, wild-type </w:t>
            </w:r>
            <w:r>
              <w:rPr>
                <w:rStyle w:val="Emphasis"/>
              </w:rPr>
              <w:t>TFG</w:t>
            </w:r>
          </w:p>
        </w:tc>
        <w:tc>
          <w:tcPr>
            <w:tcW w:w="1456" w:type="dxa"/>
            <w:tcBorders/>
            <w:vAlign w:val="center"/>
          </w:tcPr>
          <w:p>
            <w:pPr>
              <w:pStyle w:val="TableContents"/>
              <w:widowControl w:val="false"/>
              <w:suppressLineNumbers/>
              <w:bidi w:val="0"/>
              <w:jc w:val="left"/>
              <w:rPr/>
            </w:pPr>
            <w:r>
              <w:rPr/>
              <w:t xml:space="preserve">≥ </w:t>
            </w:r>
            <w:r>
              <w:rPr/>
              <w:t>26.6</w:t>
            </w:r>
          </w:p>
        </w:tc>
      </w:tr>
      <w:tr>
        <w:trPr/>
        <w:tc>
          <w:tcPr>
            <w:tcW w:w="2026" w:type="dxa"/>
            <w:tcBorders/>
            <w:vAlign w:val="center"/>
          </w:tcPr>
          <w:p>
            <w:pPr>
              <w:pStyle w:val="TableContents"/>
              <w:widowControl w:val="false"/>
              <w:suppressLineNumbers/>
              <w:bidi w:val="0"/>
              <w:jc w:val="left"/>
              <w:rPr/>
            </w:pPr>
            <w:r>
              <w:rPr>
                <w:rStyle w:val="Emphasis"/>
              </w:rPr>
              <w:t>TAF15</w:t>
            </w:r>
            <w:r>
              <w:rPr/>
              <w:t xml:space="preserve"> e6::</w:t>
            </w:r>
            <w:r>
              <w:rPr>
                <w:rStyle w:val="Emphasis"/>
              </w:rPr>
              <w:t>NR4A3</w:t>
            </w:r>
            <w:r>
              <w:rPr/>
              <w:t xml:space="preserve"> e3</w:t>
            </w:r>
          </w:p>
        </w:tc>
        <w:tc>
          <w:tcPr>
            <w:tcW w:w="2836" w:type="dxa"/>
            <w:tcBorders/>
            <w:vAlign w:val="center"/>
          </w:tcPr>
          <w:p>
            <w:pPr>
              <w:pStyle w:val="TableContents"/>
              <w:widowControl w:val="false"/>
              <w:suppressLineNumbers/>
              <w:bidi w:val="0"/>
              <w:jc w:val="left"/>
              <w:rPr/>
            </w:pPr>
            <w:r>
              <w:rPr/>
              <w:t>5′-GGGCATATCTTGTGTG-3′</w:t>
            </w:r>
          </w:p>
        </w:tc>
        <w:tc>
          <w:tcPr>
            <w:tcW w:w="751" w:type="dxa"/>
            <w:tcBorders/>
            <w:vAlign w:val="center"/>
          </w:tcPr>
          <w:p>
            <w:pPr>
              <w:pStyle w:val="TableContents"/>
              <w:widowControl w:val="false"/>
              <w:suppressLineNumbers/>
              <w:bidi w:val="0"/>
              <w:jc w:val="left"/>
              <w:rPr/>
            </w:pPr>
            <w:r>
              <w:rPr/>
              <w:t>3</w:t>
            </w:r>
          </w:p>
        </w:tc>
        <w:tc>
          <w:tcPr>
            <w:tcW w:w="1861" w:type="dxa"/>
            <w:tcBorders/>
            <w:vAlign w:val="center"/>
          </w:tcPr>
          <w:p>
            <w:pPr>
              <w:pStyle w:val="TableContents"/>
              <w:widowControl w:val="false"/>
              <w:suppressLineNumbers/>
              <w:bidi w:val="0"/>
              <w:jc w:val="left"/>
              <w:rPr/>
            </w:pPr>
            <w:r>
              <w:rPr/>
              <w:t xml:space="preserve">9 bp, wild-type </w:t>
            </w:r>
            <w:r>
              <w:rPr>
                <w:rStyle w:val="Emphasis"/>
              </w:rPr>
              <w:t>TFG</w:t>
            </w:r>
          </w:p>
        </w:tc>
        <w:tc>
          <w:tcPr>
            <w:tcW w:w="1456" w:type="dxa"/>
            <w:tcBorders/>
            <w:vAlign w:val="center"/>
          </w:tcPr>
          <w:p>
            <w:pPr>
              <w:pStyle w:val="TableContents"/>
              <w:widowControl w:val="false"/>
              <w:suppressLineNumbers/>
              <w:bidi w:val="0"/>
              <w:jc w:val="left"/>
              <w:rPr/>
            </w:pPr>
            <w:r>
              <w:rPr/>
              <w:t xml:space="preserve">≥ </w:t>
            </w:r>
            <w:r>
              <w:rPr/>
              <w:t>36.0</w:t>
            </w:r>
          </w:p>
        </w:tc>
      </w:tr>
    </w:tbl>
    <w:p>
      <w:pPr>
        <w:pStyle w:val="BodyText"/>
        <w:bidi w:val="0"/>
        <w:rPr/>
      </w:pPr>
      <w:r>
        <w:rPr>
          <w:rStyle w:val="Strong"/>
        </w:rPr>
        <w:t>Table 2. The two control oligonucleotides, each screened as its reagent was.</w:t>
      </w:r>
      <w:r>
        <w:rPr/>
        <w:t xml:space="preserve"> Each is a dinucleotide-preserving scramble of the reagent it controls, matching it in length, first and last base, base composition and dinucleotide counts while spanning no junction, and each cleared the same mature-parent screen the reagent did. The Controls section above explains why that screening step makes a scramble a control.</w:t>
      </w:r>
    </w:p>
    <w:tbl>
      <w:tblPr>
        <w:tblW w:w="8974" w:type="dxa"/>
        <w:jc w:val="left"/>
        <w:tblInd w:w="0" w:type="dxa"/>
        <w:tblLayout w:type="fixed"/>
        <w:tblCellMar>
          <w:top w:w="28" w:type="dxa"/>
          <w:left w:w="28" w:type="dxa"/>
          <w:bottom w:w="28" w:type="dxa"/>
          <w:right w:w="28" w:type="dxa"/>
        </w:tblCellMar>
      </w:tblPr>
      <w:tblGrid>
        <w:gridCol w:w="871"/>
        <w:gridCol w:w="2836"/>
        <w:gridCol w:w="3181"/>
        <w:gridCol w:w="2086"/>
      </w:tblGrid>
      <w:tr>
        <w:trPr>
          <w:tblHeader w:val="true"/>
        </w:trPr>
        <w:tc>
          <w:tcPr>
            <w:tcW w:w="8974" w:type="dxa"/>
            <w:gridSpan w:val="4"/>
            <w:tcBorders/>
            <w:vAlign w:val="center"/>
          </w:tcPr>
          <w:p>
            <w:pPr>
              <w:pStyle w:val="TableHeading"/>
              <w:suppressLineNumbers/>
              <w:shd w:fill="EAEEF2" w:val="clear"/>
              <w:bidi w:val="0"/>
              <w:jc w:val="left"/>
              <w:rPr/>
            </w:pPr>
            <w:r>
              <w:rPr/>
              <w:t>Table 2</w:t>
            </w:r>
          </w:p>
        </w:tc>
      </w:tr>
      <w:tr>
        <w:trPr>
          <w:tblHeader w:val="true"/>
        </w:trPr>
        <w:tc>
          <w:tcPr>
            <w:tcW w:w="871" w:type="dxa"/>
            <w:tcBorders/>
            <w:vAlign w:val="center"/>
          </w:tcPr>
          <w:p>
            <w:pPr>
              <w:pStyle w:val="TableHeading"/>
              <w:suppressLineNumbers/>
              <w:shd w:fill="EAEEF2" w:val="clear"/>
              <w:bidi w:val="0"/>
              <w:jc w:val="left"/>
              <w:rPr/>
            </w:pPr>
            <w:r>
              <w:rPr/>
              <w:t>control</w:t>
            </w:r>
          </w:p>
        </w:tc>
        <w:tc>
          <w:tcPr>
            <w:tcW w:w="2836" w:type="dxa"/>
            <w:tcBorders/>
            <w:vAlign w:val="center"/>
          </w:tcPr>
          <w:p>
            <w:pPr>
              <w:pStyle w:val="TableHeading"/>
              <w:suppressLineNumbers/>
              <w:shd w:fill="EAEEF2" w:val="clear"/>
              <w:bidi w:val="0"/>
              <w:jc w:val="left"/>
              <w:rPr/>
            </w:pPr>
            <w:r>
              <w:rPr/>
              <w:t>sequence</w:t>
            </w:r>
          </w:p>
        </w:tc>
        <w:tc>
          <w:tcPr>
            <w:tcW w:w="3181" w:type="dxa"/>
            <w:tcBorders/>
            <w:vAlign w:val="center"/>
          </w:tcPr>
          <w:p>
            <w:pPr>
              <w:pStyle w:val="TableHeading"/>
              <w:suppressLineNumbers/>
              <w:shd w:fill="EAEEF2" w:val="clear"/>
              <w:bidi w:val="0"/>
              <w:jc w:val="left"/>
              <w:rPr/>
            </w:pPr>
            <w:r>
              <w:rPr/>
              <w:t>scramble of</w:t>
            </w:r>
          </w:p>
        </w:tc>
        <w:tc>
          <w:tcPr>
            <w:tcW w:w="2086" w:type="dxa"/>
            <w:tcBorders/>
            <w:vAlign w:val="center"/>
          </w:tcPr>
          <w:p>
            <w:pPr>
              <w:pStyle w:val="TableHeading"/>
              <w:suppressLineNumbers/>
              <w:shd w:fill="EAEEF2" w:val="clear"/>
              <w:bidi w:val="0"/>
              <w:jc w:val="left"/>
              <w:rPr/>
            </w:pPr>
            <w:r>
              <w:rPr/>
              <w:t>WT gap duplex (bp)</w:t>
            </w:r>
          </w:p>
        </w:tc>
      </w:tr>
      <w:tr>
        <w:trPr/>
        <w:tc>
          <w:tcPr>
            <w:tcW w:w="871" w:type="dxa"/>
            <w:tcBorders/>
            <w:vAlign w:val="center"/>
          </w:tcPr>
          <w:p>
            <w:pPr>
              <w:pStyle w:val="TableContents"/>
              <w:widowControl w:val="false"/>
              <w:suppressLineNumbers/>
              <w:bidi w:val="0"/>
              <w:jc w:val="left"/>
              <w:rPr/>
            </w:pPr>
            <w:r>
              <w:rPr/>
              <w:t>control-1</w:t>
            </w:r>
          </w:p>
        </w:tc>
        <w:tc>
          <w:tcPr>
            <w:tcW w:w="2836" w:type="dxa"/>
            <w:tcBorders/>
            <w:vAlign w:val="center"/>
          </w:tcPr>
          <w:p>
            <w:pPr>
              <w:pStyle w:val="TableContents"/>
              <w:widowControl w:val="false"/>
              <w:suppressLineNumbers/>
              <w:bidi w:val="0"/>
              <w:jc w:val="left"/>
              <w:rPr/>
            </w:pPr>
            <w:r>
              <w:rPr/>
              <w:t>5′-GGGCATCAACATAATC-3′</w:t>
            </w:r>
          </w:p>
        </w:tc>
        <w:tc>
          <w:tcPr>
            <w:tcW w:w="3181" w:type="dxa"/>
            <w:tcBorders/>
            <w:vAlign w:val="center"/>
          </w:tcPr>
          <w:p>
            <w:pPr>
              <w:pStyle w:val="TableContents"/>
              <w:widowControl w:val="false"/>
              <w:suppressLineNumbers/>
              <w:bidi w:val="0"/>
              <w:jc w:val="left"/>
              <w:rPr/>
            </w:pPr>
            <w:r>
              <w:rPr/>
              <w:t>the EWSR1 e12 :: NR4A3 e3 reagent</w:t>
            </w:r>
          </w:p>
        </w:tc>
        <w:tc>
          <w:tcPr>
            <w:tcW w:w="2086" w:type="dxa"/>
            <w:tcBorders/>
            <w:vAlign w:val="center"/>
          </w:tcPr>
          <w:p>
            <w:pPr>
              <w:pStyle w:val="TableContents"/>
              <w:widowControl w:val="false"/>
              <w:suppressLineNumbers/>
              <w:bidi w:val="0"/>
              <w:jc w:val="left"/>
              <w:rPr/>
            </w:pPr>
            <w:r>
              <w:rPr/>
              <w:t xml:space="preserve">6 bp, wild-type </w:t>
            </w:r>
            <w:r>
              <w:rPr>
                <w:rStyle w:val="Emphasis"/>
              </w:rPr>
              <w:t>TAF15</w:t>
            </w:r>
          </w:p>
        </w:tc>
      </w:tr>
      <w:tr>
        <w:trPr/>
        <w:tc>
          <w:tcPr>
            <w:tcW w:w="871" w:type="dxa"/>
            <w:tcBorders/>
            <w:vAlign w:val="center"/>
          </w:tcPr>
          <w:p>
            <w:pPr>
              <w:pStyle w:val="TableContents"/>
              <w:widowControl w:val="false"/>
              <w:suppressLineNumbers/>
              <w:bidi w:val="0"/>
              <w:jc w:val="left"/>
              <w:rPr/>
            </w:pPr>
            <w:r>
              <w:rPr/>
              <w:t>control-2</w:t>
            </w:r>
          </w:p>
        </w:tc>
        <w:tc>
          <w:tcPr>
            <w:tcW w:w="2836" w:type="dxa"/>
            <w:tcBorders/>
            <w:vAlign w:val="center"/>
          </w:tcPr>
          <w:p>
            <w:pPr>
              <w:pStyle w:val="TableContents"/>
              <w:widowControl w:val="false"/>
              <w:suppressLineNumbers/>
              <w:bidi w:val="0"/>
              <w:jc w:val="left"/>
              <w:rPr/>
            </w:pPr>
            <w:r>
              <w:rPr/>
              <w:t>5′-GTATGTCATTGGCTGG-3′</w:t>
            </w:r>
          </w:p>
        </w:tc>
        <w:tc>
          <w:tcPr>
            <w:tcW w:w="3181" w:type="dxa"/>
            <w:tcBorders/>
            <w:vAlign w:val="center"/>
          </w:tcPr>
          <w:p>
            <w:pPr>
              <w:pStyle w:val="TableContents"/>
              <w:widowControl w:val="false"/>
              <w:suppressLineNumbers/>
              <w:bidi w:val="0"/>
              <w:jc w:val="left"/>
              <w:rPr/>
            </w:pPr>
            <w:r>
              <w:rPr/>
              <w:t>the TAF15 e6 :: NR4A3 e3 reagent</w:t>
            </w:r>
          </w:p>
        </w:tc>
        <w:tc>
          <w:tcPr>
            <w:tcW w:w="2086" w:type="dxa"/>
            <w:tcBorders/>
            <w:vAlign w:val="center"/>
          </w:tcPr>
          <w:p>
            <w:pPr>
              <w:pStyle w:val="TableContents"/>
              <w:widowControl w:val="false"/>
              <w:suppressLineNumbers/>
              <w:bidi w:val="0"/>
              <w:jc w:val="left"/>
              <w:rPr/>
            </w:pPr>
            <w:r>
              <w:rPr/>
              <w:t xml:space="preserve">7 bp, wild-type </w:t>
            </w:r>
            <w:r>
              <w:rPr>
                <w:rStyle w:val="Emphasis"/>
              </w:rPr>
              <w:t>EWSR1</w:t>
            </w:r>
          </w:p>
        </w:tc>
      </w:tr>
    </w:tbl>
    <w:p>
      <w:pPr>
        <w:pStyle w:val="Heading2"/>
        <w:bidi w:val="0"/>
        <w:jc w:val="left"/>
        <w:rPr/>
      </w:pPr>
      <w:r>
        <w:rPr/>
        <w:t>Figure legends</w:t>
      </w:r>
    </w:p>
    <w:p>
      <w:pPr>
        <w:pStyle w:val="BodyText"/>
        <w:bidi w:val="0"/>
        <w:rPr/>
      </w:pPr>
      <w:r>
        <w:rPr/>
        <w:drawing>
          <wp:inline distT="0" distB="0" distL="0" distR="0">
            <wp:extent cx="720090" cy="325501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9"/>
                    <a:stretch>
                      <a:fillRect/>
                    </a:stretch>
                  </pic:blipFill>
                  <pic:spPr bwMode="auto">
                    <a:xfrm>
                      <a:off x="0" y="0"/>
                      <a:ext cx="720090" cy="3255010"/>
                    </a:xfrm>
                    <a:prstGeom prst="rect">
                      <a:avLst/>
                    </a:prstGeom>
                  </pic:spPr>
                </pic:pic>
              </a:graphicData>
            </a:graphic>
          </wp:inline>
        </w:drawing>
      </w:r>
      <w:r>
        <w:rPr/>
        <w:t xml:space="preserve"> </w:t>
      </w:r>
    </w:p>
    <w:p>
      <w:pPr>
        <w:pStyle w:val="BodyTextlegend"/>
        <w:bidi w:val="0"/>
        <w:spacing w:before="0" w:after="320"/>
        <w:jc w:val="left"/>
        <w:rPr/>
      </w:pPr>
      <w:r>
        <w:rPr>
          <w:rStyle w:val="Strong"/>
        </w:rPr>
        <w:t>Figure 1. One 16-mer spans three partners' breakpoints, and only one of the three is a junction any patient is reported to carry.</w:t>
      </w:r>
      <w:r>
        <w:rPr/>
        <w:t xml:space="preserve"> The junction windows of </w:t>
      </w:r>
      <w:r>
        <w:rPr>
          <w:rStyle w:val="Emphasis"/>
        </w:rPr>
        <w:t>EWSR1</w:t>
      </w:r>
      <w:r>
        <w:rPr/>
        <w:t xml:space="preserve"> exon 12, </w:t>
      </w:r>
      <w:r>
        <w:rPr>
          <w:rStyle w:val="Emphasis"/>
        </w:rPr>
        <w:t>TAF15</w:t>
      </w:r>
      <w:r>
        <w:rPr/>
        <w:t xml:space="preserve"> exon 11 and </w:t>
      </w:r>
      <w:r>
        <w:rPr>
          <w:rStyle w:val="Emphasis"/>
        </w:rPr>
        <w:t>FUS</w:t>
      </w:r>
      <w:r>
        <w:rPr/>
        <w:t xml:space="preserve"> exon 10 joined to </w:t>
      </w:r>
      <w:r>
        <w:rPr>
          <w:rStyle w:val="Emphasis"/>
        </w:rPr>
        <w:t>NR4A3</w:t>
      </w:r>
      <w:r>
        <w:rPr/>
        <w:t xml:space="preserve"> exon 3, aligned at the breakpoint, each row carrying its own reporting status. The </w:t>
      </w:r>
      <w:r>
        <w:rPr>
          <w:rStyle w:val="Emphasis"/>
        </w:rPr>
        <w:t>TAF15</w:t>
      </w:r>
      <w:r>
        <w:rPr/>
        <w:t xml:space="preserve"> row is exon 11 — a different junction from Table 1's </w:t>
      </w:r>
      <w:r>
        <w:rPr>
          <w:rStyle w:val="Emphasis"/>
        </w:rPr>
        <w:t>TAF15</w:t>
      </w:r>
      <w:r>
        <w:rPr/>
        <w:t xml:space="preserve"> exon 6 reagent, and one of the two further breakpoints the </w:t>
      </w:r>
      <w:r>
        <w:rPr>
          <w:rStyle w:val="Emphasis"/>
        </w:rPr>
        <w:t>EWSR1</w:t>
      </w:r>
      <w:r>
        <w:rPr/>
        <w:t xml:space="preserve"> reagent also spans. No reagent is named at it.</w:t>
      </w:r>
    </w:p>
    <w:sectPr>
      <w:type w:val="nextPage"/>
      <w:pgSz w:w="11906" w:h="16838"/>
      <w:pgMar w:left="1020" w:right="1020" w:gutter="0" w:header="0" w:top="1134"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DejaVu Sans Mono">
    <w:altName w:val="Consolas"/>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Liberation Serif;Times New Roman;Times;serif" w:hAnsi="Liberation Serif;Times New Roman;Times;serif" w:eastAsia="Liberation Serif;Times New Roman;Times;serif" w:cs="Liberation Serif;Times New Roman;Times;serif"/>
      <w:color w:val="111111"/>
      <w:sz w:val="21"/>
      <w:szCs w:val="21"/>
      <w:lang w:val="en-US" w:eastAsia="zh-CN" w:bidi="hi-IN"/>
    </w:rPr>
  </w:style>
  <w:style w:type="paragraph" w:styleId="Heading1">
    <w:name w:val="Heading 1"/>
    <w:basedOn w:val="Heading"/>
    <w:next w:val="BodyText"/>
    <w:qFormat/>
    <w:pPr>
      <w:spacing w:lineRule="auto" w:line="300" w:before="240" w:after="280"/>
      <w:outlineLvl w:val="0"/>
    </w:pPr>
    <w:rPr>
      <w:rFonts w:ascii="Liberation Serif" w:hAnsi="Liberation Serif" w:eastAsia="WenQuanYi Zen Hei" w:cs="FreeSans"/>
      <w:b/>
      <w:bCs/>
      <w:sz w:val="34"/>
      <w:szCs w:val="34"/>
    </w:rPr>
  </w:style>
  <w:style w:type="paragraph" w:styleId="Heading2">
    <w:name w:val="Heading 2"/>
    <w:basedOn w:val="Heading"/>
    <w:next w:val="BodyText"/>
    <w:qFormat/>
    <w:pPr>
      <w:pBdr>
        <w:bottom w:val="single" w:sz="4" w:space="3" w:color="CCCCCC"/>
      </w:pBdr>
      <w:spacing w:before="400" w:after="120"/>
      <w:ind w:left="400" w:right="400"/>
      <w:outlineLvl w:val="1"/>
    </w:pPr>
    <w:rPr>
      <w:rFonts w:ascii="Liberation Serif" w:hAnsi="Liberation Serif" w:eastAsia="WenQuanYi Zen Hei" w:cs="FreeSans"/>
      <w:b/>
      <w:bCs/>
      <w:sz w:val="26"/>
      <w:szCs w:val="26"/>
    </w:rPr>
  </w:style>
  <w:style w:type="paragraph" w:styleId="Heading3">
    <w:name w:val="Heading 3"/>
    <w:basedOn w:val="Heading"/>
    <w:next w:val="BodyText"/>
    <w:qFormat/>
    <w:pPr>
      <w:spacing w:before="280" w:after="80"/>
      <w:ind w:left="280" w:right="280"/>
      <w:outlineLvl w:val="2"/>
    </w:pPr>
    <w:rPr>
      <w:rFonts w:ascii="Liberation Serif" w:hAnsi="Liberation Serif" w:eastAsia="WenQuanYi Zen Hei" w:cs="FreeSans"/>
      <w:b/>
      <w:bCs/>
      <w:sz w:val="22"/>
      <w:szCs w:val="22"/>
    </w:rPr>
  </w:style>
  <w:style w:type="character" w:styleId="SourceText">
    <w:name w:val="Source Text"/>
    <w:qFormat/>
    <w:rPr>
      <w:rFonts w:ascii="DejaVu Sans Mono;Consolas;monospace" w:hAnsi="DejaVu Sans Mono;Consolas;monospace" w:eastAsia="DejaVu Sans Mono;Consolas;monospace" w:cs="DejaVu Sans Mono;Consolas;monospace"/>
      <w:shd w:fill="F4F4F4" w:val="clear"/>
    </w:rPr>
  </w:style>
  <w:style w:type="character" w:styleId="SourceTextbrk">
    <w:name w:val="Source Text.brk"/>
    <w:basedOn w:val="SourceText"/>
    <w:qFormat/>
    <w:rPr/>
  </w:style>
  <w:style w:type="character" w:styleId="Emphasis">
    <w:name w:val="Emphasis"/>
    <w:qFormat/>
    <w:rPr>
      <w:i/>
      <w:iCs/>
    </w:rPr>
  </w:style>
  <w:style w:type="character" w:styleId="Strong">
    <w:name w:val="Strong"/>
    <w:qFormat/>
    <w:rPr>
      <w:b/>
      <w:bCs/>
    </w:rPr>
  </w:style>
  <w:style w:type="character" w:styleId="Hyperlink">
    <w:name w:val="Hyperlink"/>
    <w:rPr>
      <w:strike w:val="false"/>
      <w:dstrike w:val="false"/>
      <w:color w:val="14507D"/>
      <w:u w:val="none"/>
      <w:effect w:val="none"/>
    </w:rPr>
  </w:style>
  <w:style w:type="character" w:styleId="FollowedHyperlink">
    <w:name w:val="FollowedHyperlink"/>
    <w:rPr>
      <w:strike w:val="false"/>
      <w:dstrike w:val="false"/>
      <w:color w:val="14507D"/>
      <w:u w:val="none"/>
      <w:effect w:val="non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widowControl/>
      <w:spacing w:lineRule="auto" w:line="276" w:before="0" w:after="160"/>
      <w:jc w:val="both"/>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120" w:after="160"/>
      <w:ind w:hanging="0" w:left="120" w:right="120"/>
      <w:jc w:val="center"/>
    </w:pPr>
    <w:rPr/>
  </w:style>
  <w:style w:type="paragraph" w:styleId="PreformattedText">
    <w:name w:val="Preformatted Text"/>
    <w:basedOn w:val="Normal"/>
    <w:qFormat/>
    <w:pPr>
      <w:pBdr>
        <w:left w:val="single" w:sz="16" w:space="7" w:color="C8D2DC"/>
      </w:pBdr>
      <w:shd w:fill="F4F4F4" w:val="clear"/>
      <w:spacing w:lineRule="auto" w:line="324" w:before="0" w:after="160"/>
      <w:jc w:val="left"/>
    </w:pPr>
    <w:rPr>
      <w:rFonts w:ascii="DejaVu Sans Mono;Consolas;monospace" w:hAnsi="DejaVu Sans Mono;Consolas;monospace" w:eastAsia="DejaVu Sans Mono;Consolas;monospace" w:cs="DejaVu Sans Mono;Consolas;monospace"/>
      <w:sz w:val="20"/>
      <w:szCs w:val="20"/>
    </w:rPr>
  </w:style>
  <w:style w:type="paragraph" w:styleId="BodyTextlegend">
    <w:name w:val="Body Text.legend"/>
    <w:basedOn w:val="BodyText"/>
    <w:qFormat/>
    <w:pPr>
      <w:widowControl/>
      <w:spacing w:before="0" w:after="320"/>
      <w:jc w:val="left"/>
    </w:pPr>
    <w:rPr>
      <w:sz w:val="18"/>
      <w:szCs w:val="18"/>
    </w:rPr>
  </w:style>
  <w:style w:type="paragraph" w:styleId="BodyTextversion">
    <w:name w:val="Body Text.version"/>
    <w:basedOn w:val="BodyText"/>
    <w:qFormat/>
    <w:pPr>
      <w:spacing w:before="0" w:after="240"/>
      <w:ind w:left="0" w:right="0"/>
      <w:jc w:val="left"/>
    </w:pPr>
    <w:rPr>
      <w:color w:val="46545F"/>
      <w:sz w:val="17"/>
      <w:szCs w:val="17"/>
    </w:rPr>
  </w:style>
  <w:style w:type="paragraph" w:styleId="BodyTextsitrace">
    <w:name w:val="Body Text.sitrace"/>
    <w:basedOn w:val="BodyText"/>
    <w:qFormat/>
    <w:pPr>
      <w:spacing w:before="0" w:after="200"/>
      <w:jc w:val="left"/>
    </w:pPr>
    <w:rPr>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EAEEF2"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0-0002-1823-1451" TargetMode="External"/><Relationship Id="rId3" Type="http://schemas.openxmlformats.org/officeDocument/2006/relationships/hyperlink" Target="https://doi.org/10.5281/zenodo.22229096" TargetMode="External"/><Relationship Id="rId4" Type="http://schemas.openxmlformats.org/officeDocument/2006/relationships/hyperlink" Target="https://doi.org/10.1093/hmg/4.12.2219" TargetMode="External"/><Relationship Id="rId5" Type="http://schemas.openxmlformats.org/officeDocument/2006/relationships/hyperlink" Target="https://doi.org/10.1245/s10434-020-08737-7" TargetMode="External"/><Relationship Id="rId6" Type="http://schemas.openxmlformats.org/officeDocument/2006/relationships/hyperlink" Target="https://doi.org/10.1111/his.70131" TargetMode="External"/><Relationship Id="rId7" Type="http://schemas.openxmlformats.org/officeDocument/2006/relationships/hyperlink" Target="https://doi.org/10.1007/s00432-025-06316-5" TargetMode="External"/><Relationship Id="rId8" Type="http://schemas.openxmlformats.org/officeDocument/2006/relationships/hyperlink" Target="https://doi.org/10.1186/2045-3329-3-16" TargetMode="External"/><Relationship Id="rId9" Type="http://schemas.openxmlformats.org/officeDocument/2006/relationships/hyperlink" Target="https://doi.org/10.1016/S1470-2045(19)30319-5" TargetMode="External"/><Relationship Id="rId10" Type="http://schemas.openxmlformats.org/officeDocument/2006/relationships/hyperlink" Target="https://doi.org/10.1023/a:1005716926800" TargetMode="External"/><Relationship Id="rId11" Type="http://schemas.openxmlformats.org/officeDocument/2006/relationships/hyperlink" Target="https://doi.org/10.1093/noajnl/vdaa132" TargetMode="External"/><Relationship Id="rId12" Type="http://schemas.openxmlformats.org/officeDocument/2006/relationships/hyperlink" Target="https://doi.org/10.1089/hum.2011.079" TargetMode="External"/><Relationship Id="rId13" Type="http://schemas.openxmlformats.org/officeDocument/2006/relationships/hyperlink" Target="https://doi.org/10.1158/1078-0432.ccr-12-2715" TargetMode="External"/><Relationship Id="rId14" Type="http://schemas.openxmlformats.org/officeDocument/2006/relationships/hyperlink" Target="https://doi.org/10.1016/j.ymthe.2023.11.012" TargetMode="External"/><Relationship Id="rId15" Type="http://schemas.openxmlformats.org/officeDocument/2006/relationships/hyperlink" Target="https://doi.org/10.1016/j.ddtec.2005.08.012" TargetMode="External"/><Relationship Id="rId16" Type="http://schemas.openxmlformats.org/officeDocument/2006/relationships/hyperlink" Target="https://doi.org/10.1089/nat.2024.0072" TargetMode="External"/><Relationship Id="rId17" Type="http://schemas.openxmlformats.org/officeDocument/2006/relationships/hyperlink" Target="https://doi.org/10.1093/nar/gkae1071" TargetMode="External"/><Relationship Id="rId18" Type="http://schemas.openxmlformats.org/officeDocument/2006/relationships/hyperlink" Target="https://doi.org/10.1021/bi00035a029" TargetMode="External"/><Relationship Id="rId19" Type="http://schemas.openxmlformats.org/officeDocument/2006/relationships/hyperlink" Target="https://doi.org/10.1002/gcc.10127" TargetMode="External"/><Relationship Id="rId20" Type="http://schemas.openxmlformats.org/officeDocument/2006/relationships/hyperlink" Target="https://doi.org/10.1016/j.modpat.2023.100161" TargetMode="External"/><Relationship Id="rId21" Type="http://schemas.openxmlformats.org/officeDocument/2006/relationships/hyperlink" Target="https://doi.org/10.3390/ijms19071855" TargetMode="External"/><Relationship Id="rId22" Type="http://schemas.openxmlformats.org/officeDocument/2006/relationships/hyperlink" Target="https://doi.org/10.1200/po.22.00039" TargetMode="External"/><Relationship Id="rId23" Type="http://schemas.openxmlformats.org/officeDocument/2006/relationships/hyperlink" Target="https://doi.org/10.1002/path.5284" TargetMode="External"/><Relationship Id="rId24" Type="http://schemas.openxmlformats.org/officeDocument/2006/relationships/hyperlink" Target="https://doi.org/10.1007/s13577-022-00818-x" TargetMode="External"/><Relationship Id="rId25" Type="http://schemas.openxmlformats.org/officeDocument/2006/relationships/hyperlink" Target="https://doi.org/10.3390/cancers15123127" TargetMode="External"/><Relationship Id="rId26" Type="http://schemas.openxmlformats.org/officeDocument/2006/relationships/hyperlink" Target="https://doi.org/10.4143/crt.2022.910" TargetMode="External"/><Relationship Id="rId27" Type="http://schemas.openxmlformats.org/officeDocument/2006/relationships/hyperlink" Target="https://pubmed.ncbi.nlm.nih.gov/31020999/" TargetMode="External"/><Relationship Id="rId28" Type="http://schemas.openxmlformats.org/officeDocument/2006/relationships/hyperlink" Target="https://pubmed.ncbi.nlm.nih.gov/36316541/" TargetMode="External"/><Relationship Id="rId29" Type="http://schemas.openxmlformats.org/officeDocument/2006/relationships/image" Target="media/image1.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NR4A3 fusion-junction antisense gapmers for extraskeletal myxoid chondrosarcoma: reagents, test articles and a pre-registrable knockdown experiment</dc:title>
</cp:coreProperties>
</file>

<file path=docProps/custom.xml><?xml version="1.0" encoding="utf-8"?>
<Properties xmlns="http://schemas.openxmlformats.org/officeDocument/2006/custom-properties" xmlns:vt="http://schemas.openxmlformats.org/officeDocument/2006/docPropsVTypes"/>
</file>