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Editors,</w:t>
      </w:r>
    </w:p>
    <w:p>
      <w:r>
        <w:t>Please consider “Computational design and parent transcript liabilities of NR4A3 fusion junction gapmers in extraskeletal myxoid chondrosarcoma” as a Full-length research article in Computational Biology and Chemistry.</w:t>
      </w:r>
    </w:p>
    <w:p>
      <w:r>
        <w:t>This computational study designs 190 antisense gapmers across 38 modelled NR4A3 fusion junctions and compares conventional near-match screening with contiguous parent-transcript pairing through the catalytic gap. It provides reproducible sequence records, threshold sensitivity and a negative limitation: the strongest exon-terminus control does not resolve a disease-specific excess of parent liability. It reports no laboratory validation or therapeutic window.</w:t>
      </w:r>
    </w:p>
    <w:p>
      <w:r>
        <w:t>The manuscript develops the completed computational results and places proposed model testing in Discussion. Its sequence records, numerical results and original figure remain unchanged from the submitted Qeios version 3 (https://www.qeios.com/read/VL3LJR.3). The historical code and analysis archive is https://doi.org/10.5281/zenodo.22229096; the accompanying revision note distinguishes that archive from corrected interpretations in the present package.</w:t>
      </w:r>
    </w:p>
    <w:p>
      <w:r>
        <w:t>We request standard subscription publication with online-only color. Optional open access, print color and paid companion-journal publication are not requested.</w:t>
      </w:r>
    </w:p>
    <w:p>
      <w:r>
        <w:t>The submitted author-interest, funding and AI disclosures are retained in the manuscript. Final personal author declarations and journal submission remain for the author to complete.</w:t>
      </w:r>
    </w:p>
    <w:p>
      <w:r>
        <w:t>Sincerely,</w:t>
      </w:r>
    </w:p>
    <w:p>
      <w:r>
        <w:t>Tristan D. McRae</w:t>
      </w:r>
    </w:p>
    <w:p>
      <w:r>
        <w:t>Independent researcher, unaffiliated</w:t>
      </w:r>
    </w:p>
    <w:p>
      <w:r>
        <w:t>trimcrae@gmail.com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Tristan D. McRae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