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r>
        <w:t>190 gapmer designs span 38 modelled NR4A3 fusion junctions.</w:t>
      </w:r>
    </w:p>
    <w:p>
      <w:r>
        <w:t>87 designs pair a mature parent through the full gap at an adopted cutoff.</w:t>
      </w:r>
    </w:p>
    <w:p>
      <w:r>
        <w:t>Exon-terminus controls leave a disease-specific liability excess unresolved.</w:t>
      </w:r>
    </w:p>
    <w:p>
      <w:r>
        <w:t>Parent-clear design counts depend strongly on the pairing cutoff.</w:t>
      </w:r>
    </w:p>
    <w:p>
      <w:r>
        <w:t>Sequence predictions do not establish cleavage or a therapeutic window.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>Tristan D. McRae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