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Cancer Genetics cover letter</w:t>
      </w:r>
    </w:p>
    <w:p>
      <w:pPr/>
      <w:r>
        <w:rPr>
          <w:color w:val="000000"/>
        </w:rPr>
        <w:t>Dear Editors,</w:t>
      </w:r>
    </w:p>
    <w:p>
      <w:pPr/>
      <w:r>
        <w:rPr>
          <w:color w:val="000000"/>
        </w:rPr>
        <w:t>Please consider “CSPG4 tissue RNA in extraskeletal myxoid chondrosarcoma: an exploratory comparison across sarcoma cohorts” as an Original Research Article in Cancer Genetics.</w:t>
      </w:r>
    </w:p>
    <w:p>
      <w:pPr/>
      <w:r>
        <w:rPr>
          <w:b w:val="0"/>
        </w:rPr>
        <w:t>This study asks which RNA differences between extraskeletal myxoid chondrosarcoma (EMC) and named sarcomas recur across public datasets. CSPG4 RNA showed positive ordering against low-grade fibromyxoid sarcoma in both an expression-array cohort and a separate RNA-sequencing cohort. The findings are comparator dependent: the all-year comparison with dermatofibrosarcoma protuberans was not positive.</w:t>
      </w:r>
    </w:p>
    <w:p>
      <w:pPr/>
      <w:r>
        <w:rPr>
          <w:b w:val="0"/>
        </w:rPr>
        <w:t>The contribution is a focused comparative RNA account, with all 11 panel genes, individual comparator results and reproducible evidence retained. It does not claim discovery of CSPG4 as a sarcoma-associated gene or select a treatment target. The original panel rule remains documented, without treating it as a validated ranking of biological value. Sparse sequencing-year matching and the adverse group-deletion result remain explicit: removing the 2019 group left two matchable EMC patients and reversed the matched result, while the all-year result remained positive.</w:t>
      </w:r>
    </w:p>
    <w:p>
      <w:pPr/>
      <w:r>
        <w:rPr>
          <w:b w:val="0"/>
        </w:rPr>
        <w:t>Preprints are available on Research Square (https://doi.org/10.21203/rs.3.rs-10959636/v1) and aiXiv (https://aixiv.science/abs/aixiv.260907.000003). This local revision gives the comparator-specific findings greater interpretive emphasis after review of the completed study. It retains the same analyses, figure data, frozen protocol and adverse checks. RNA measurements alone do not establish diagnostic performance, malignant-cell protein location or therapeutic suitability.</w:t>
      </w:r>
    </w:p>
    <w:p>
      <w:pPr/>
      <w:r>
        <w:rPr>
          <w:color w:val="000000"/>
        </w:rPr>
        <w:t>This research received no funding. No competing financial interests exist. One non-financial interest is declared: the author is a survivor of extraskeletal myxoid chondrosarcoma, the disease this work addresses.</w:t>
      </w:r>
    </w:p>
    <w:p>
      <w:pPr/>
      <w:r>
        <w:rPr>
          <w:color w:val="000000"/>
        </w:rPr>
        <w:t>The study reanalyzes public data and reports no new participant recruitment, specimens, intervention or laboratory experiment. It asserts no new ethics approval, exemption or waiver. OpenAI Codex assistance with code, computation, verification and drafting is disclosed in the manuscript. I take responsibility for the final interpretation.</w:t>
      </w:r>
    </w:p>
    <w:p>
      <w:pPr/>
      <w:r>
        <w:rPr>
          <w:color w:val="000000"/>
        </w:rPr>
        <w:t>I request the standard subscription publication route, with online-only color and no optional open-access or accelerated service.</w:t>
      </w:r>
    </w:p>
    <w:p>
      <w:pPr/>
      <w:r>
        <w:rPr>
          <w:color w:val="000000"/>
        </w:rPr>
        <w:t>Sincerely,</w:t>
      </w:r>
    </w:p>
    <w:p>
      <w:pPr/>
      <w:r>
        <w:rPr>
          <w:color w:val="000000"/>
        </w:rPr>
        <w:t>Tristan D. McRae</w:t>
      </w:r>
    </w:p>
    <w:p>
      <w:pPr/>
      <w:r>
        <w:rPr>
          <w:color w:val="000000"/>
        </w:rPr>
        <w:t>Independent researcher, unaffiliated</w:t>
      </w:r>
    </w:p>
    <w:p>
      <w:pPr/>
      <w:r>
        <w:rPr>
          <w:color w:val="000000"/>
        </w:rPr>
        <w:t>trimcrae@gmail.com</w:t>
      </w:r>
    </w:p>
    <w:p>
      <w:pPr/>
      <w:r>
        <w:rPr>
          <w:color w:val="000000"/>
        </w:rPr>
        <w:t>ORCID 0000-0002-1823-1451</w:t>
      </w:r>
    </w:p>
    <w:sectPr w:rsidR="00FC693F" w:rsidRPr="0006063C" w:rsidSect="00034616">
      <w:footerReference w:type="default" r:id="rId9"/>
      <w:pgSz w:w="11909" w:h="16834"/>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21203/rs.3.rs-10959636/v1" TargetMode="External"/><Relationship Id="rId11" Type="http://schemas.openxmlformats.org/officeDocument/2006/relationships/hyperlink" Target="https://aixiv.science/abs/aixiv.260907.000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Cancer Genetics cover letter</dc:title>
  <dc:subject>Computational tissue RNA study prepared for Cancer Genetics</dc:subject>
  <dc:creator>Tristan D. McRae</dc:creator>
  <cp:keywords/>
  <dc:description>generated by python-docx</dc:description>
  <cp:lastModifiedBy/>
  <cp:revision>1</cp:revision>
  <dcterms:created xsi:type="dcterms:W3CDTF">2026-09-18T15:43:58Z</dcterms:created>
  <dcterms:modified xsi:type="dcterms:W3CDTF">2026-09-18T15:43:58Z</dcterms:modified>
  <cp:category/>
</cp:coreProperties>
</file>