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its junction in no normal transcript. An antisense gapmer could in principle cleave it, sparing the parents; none is reported. The work is computational — an industry off-target framework's in-silico step; every sequence is a research reagent not for administration. It names what a laboratory needs: two reagents at the most-reported breakpoints —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 two screened controls, a pre-registrable selectivity threshold. Both come from 190 junction-spanning 16-mers across 38 in-frame junctions; 87 let a mature wild-type parent pair their whole catalytic gap over ten or more contiguous base pairs, 61 against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Designability is not the constraint; discrimination from the parents is. That liability is invisible to a conventional off-target search and must be screened directly before synthesis.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and the case for screening it is structural rather than statistical: it is invisible to the instrument a designer would ordinarily use, at any threshold that instrument is normally run at, whatever cut the direct screen then adopts.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avoid[22].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Ensembl[19]. Junction-spanning 16-mer gapmers were tiled in a 5-6-5 β-D-oxy-locked nucleic acid (LNA)/DNA/LNA geometry[20],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 the search scope the 2025 recommendations ask for[22].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strand[21].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Methods sets.</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β-D-oxy-LNA residues — a high locked content against the two to four per wing taken here as usual, so these are not conventional LNA reagents and their matched-duplex melting temperatures are correspondingly high. That cuts against the screens: a high-affinity chemistry is reported to retain knockdown at more extensively mismatched sites than a conventional design does[22],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series[12], the two junctions account for 68.4% of molecularly confirmed cases in a 58-case cohort[13].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Two bounds apply to the cleanliness counts below, and to those alone. Seven of the 190 alignment screens never returned, so counts from that screen are taken over the 183 that did. That screen also censors its own hit lists, leaving 47 of those 183 assessable for cleanliness, so a count of clean designs is a floor over that subset rather than a panel total. Most designs clean at the default ceiling are not clean at a deeper one. The mature-parent screen is a sequence computation, not a database query: it ran on all 190, and the counts that follow carry neither bound.</w:t>
      </w:r>
    </w:p>
    <w:p>
      <w:pPr>
        <w:pStyle w:val="BodyText"/>
        <w:bidi w:val="0"/>
        <w:rPr/>
      </w:pPr>
      <w:r>
        <w:rPr/>
        <w:t xml:space="preserve">The two reagents above survived a screen applied uniformly to the whole panel. Across the 38 in-frame junctions of five modelled partners, 190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clearing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series[23], and a </w:t>
      </w:r>
      <w:r>
        <w:rPr>
          <w:rStyle w:val="Emphasis"/>
        </w:rPr>
        <w:t>PGR</w:t>
      </w:r>
      <w:r>
        <w:rPr/>
        <w:t>::</w:t>
      </w:r>
      <w:r>
        <w:rPr>
          <w:rStyle w:val="Emphasis"/>
        </w:rPr>
        <w:t>NR4A3</w:t>
      </w:r>
      <w:r>
        <w:rPr/>
        <w:t xml:space="preserve"> case joins exon 2 to the </w:t>
      </w:r>
      <w:r>
        <w:rPr>
          <w:rStyle w:val="Emphasis"/>
        </w:rPr>
        <w:t>NR4A3</w:t>
      </w:r>
      <w:r>
        <w:rPr/>
        <w:t xml:space="preserve"> 5′ untranslated region[16]. Beyond exon 3 the position is the reverse: across the exon-resolved </w:t>
      </w:r>
      <w:r>
        <w:rPr>
          <w:rStyle w:val="Emphasis"/>
        </w:rPr>
        <w:t>NR4A3</w:t>
      </w:r>
      <w:r>
        <w:rPr/>
        <w:t xml:space="preserve"> junctions retrieved here every acceptor is exon 2, exon 3, or a cryptic exon in intron 2[14], none 3′ of exon 3, so nothing is designed there because no patient is reported there.</w:t>
      </w:r>
    </w:p>
    <w:p>
      <w:pPr>
        <w:pStyle w:val="BodyText"/>
        <w:bidi w:val="0"/>
        <w:rPr/>
      </w:pPr>
      <w:r>
        <w:rPr/>
        <w:t>Three are engineered constructs from a published functional study[14],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tumours[15], USZ20-EMC1 (RRID:CVCL_C6MX) and USZ22-EMC2 (RRID:CVCL_C6MY) — the only source of a fusion-positive EMC cell identified here. They are available on request with no repository deposit,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factor[1,14].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tumour[17]. It is specified here for these reagents, with three controls a knockdown assay alone cannot distinguish, two of them the screened scrambles above.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Comparing the two half-maximal concentrations is the margin assessment the recommendations specify at this step; they decline to set a default value for it[22]. At an assumed replicate standard deviation of 0.35 on the natural-log scale — a 1.42-fold replicate spread, and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Designability is not the constraint: a junction-spanning design exists at every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Their counts may not be added either, because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here[8-10,18]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4">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5">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16">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17">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18">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19">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J Choi, DY Oh, YK Jeon, et al. (2023). Cancer-Specific Sequences in the Diagnosis and Treatment of NUT Carcinoma. Cancer Res Treat 55:452–467. </w:t>
      </w:r>
      <w:hyperlink r:id="rId20">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21">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2">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23">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24">
        <w:r>
          <w:rPr>
            <w:rStyle w:val="Hyperlink"/>
          </w:rPr>
          <w:t>doi:10.1089/nat.2024.0072</w:t>
        </w:r>
      </w:hyperlink>
      <w:r>
        <w:rPr/>
        <w:t xml:space="preserve"> </w:t>
      </w:r>
    </w:p>
    <w:p>
      <w:pPr>
        <w:pStyle w:val="BodyText"/>
        <w:numPr>
          <w:ilvl w:val="0"/>
          <w:numId w:val="1"/>
        </w:numPr>
        <w:tabs>
          <w:tab w:val="clear" w:pos="709"/>
          <w:tab w:val="left" w:pos="709" w:leader="none"/>
        </w:tabs>
        <w:bidi w:val="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5">
        <w:r>
          <w:rPr>
            <w:rStyle w:val="Hyperlink"/>
          </w:rPr>
          <w:t>doi:10.3390/ijms19071855</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 26.6 °C and ≥ 36.0 °C for the two rows in order, floors rather than estimates, for the reason Methods gives. Nothing here has been synthesised or tested, and no sequence may be administered to any person or animal.</w:t>
      </w:r>
    </w:p>
    <w:tbl>
      <w:tblPr>
        <w:tblW w:w="9154" w:type="dxa"/>
        <w:jc w:val="left"/>
        <w:tblInd w:w="0" w:type="dxa"/>
        <w:tblLayout w:type="fixed"/>
        <w:tblCellMar>
          <w:top w:w="28" w:type="dxa"/>
          <w:left w:w="28" w:type="dxa"/>
          <w:bottom w:w="28" w:type="dxa"/>
          <w:right w:w="28" w:type="dxa"/>
        </w:tblCellMar>
      </w:tblPr>
      <w:tblGrid>
        <w:gridCol w:w="2026"/>
        <w:gridCol w:w="2836"/>
        <w:gridCol w:w="1861"/>
        <w:gridCol w:w="2431"/>
      </w:tblGrid>
      <w:tr>
        <w:trPr>
          <w:tblHeader w:val="true"/>
        </w:trPr>
        <w:tc>
          <w:tcPr>
            <w:tcW w:w="9154" w:type="dxa"/>
            <w:gridSpan w:val="4"/>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1861" w:type="dxa"/>
            <w:tcBorders/>
            <w:vAlign w:val="center"/>
          </w:tcPr>
          <w:p>
            <w:pPr>
              <w:pStyle w:val="TableHeading"/>
              <w:suppressLineNumbers/>
              <w:shd w:fill="EAEEF2" w:val="clear"/>
              <w:bidi w:val="0"/>
              <w:jc w:val="left"/>
              <w:rPr/>
            </w:pPr>
            <w:r>
              <w:rPr/>
              <w:t>WT gap duplex (bp)</w:t>
            </w:r>
          </w:p>
        </w:tc>
        <w:tc>
          <w:tcPr>
            <w:tcW w:w="2431" w:type="dxa"/>
            <w:tcBorders/>
            <w:vAlign w:val="center"/>
          </w:tcPr>
          <w:p>
            <w:pPr>
              <w:pStyle w:val="TableHeading"/>
              <w:suppressLineNumbers/>
              <w:shd w:fill="EAEEF2" w:val="clear"/>
              <w:bidi w:val="0"/>
              <w:jc w:val="left"/>
              <w:rPr/>
            </w:pPr>
            <w:r>
              <w:rPr/>
              <w:t>test article</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2431" w:type="dxa"/>
            <w:tcBorders/>
            <w:vAlign w:val="center"/>
          </w:tcPr>
          <w:p>
            <w:pPr>
              <w:pStyle w:val="TableContents"/>
              <w:widowControl w:val="false"/>
              <w:suppressLineNumbers/>
              <w:bidi w:val="0"/>
              <w:jc w:val="left"/>
              <w:rPr/>
            </w:pPr>
            <w:r>
              <w:rPr/>
              <w:t>E-N, engineered construct</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243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That screening is what separates a negative control from a second active molecule; Results gives the rate at which an unscreened scramble would be one.</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5760085" cy="289433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5760085" cy="289433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02/gcc.10127" TargetMode="External"/><Relationship Id="rId15" Type="http://schemas.openxmlformats.org/officeDocument/2006/relationships/hyperlink" Target="https://doi.org/10.1016/j.modpat.2023.100161" TargetMode="External"/><Relationship Id="rId16" Type="http://schemas.openxmlformats.org/officeDocument/2006/relationships/hyperlink" Target="https://doi.org/10.1002/path.5284" TargetMode="External"/><Relationship Id="rId17" Type="http://schemas.openxmlformats.org/officeDocument/2006/relationships/hyperlink" Target="https://doi.org/10.1007/s13577-022-00818-x" TargetMode="External"/><Relationship Id="rId18" Type="http://schemas.openxmlformats.org/officeDocument/2006/relationships/hyperlink" Target="https://doi.org/10.1200/po.22.00039" TargetMode="External"/><Relationship Id="rId19" Type="http://schemas.openxmlformats.org/officeDocument/2006/relationships/hyperlink" Target="https://doi.org/10.3390/cancers15123127" TargetMode="External"/><Relationship Id="rId20" Type="http://schemas.openxmlformats.org/officeDocument/2006/relationships/hyperlink" Target="https://doi.org/10.4143/crt.2022.910" TargetMode="External"/><Relationship Id="rId21" Type="http://schemas.openxmlformats.org/officeDocument/2006/relationships/hyperlink" Target="https://doi.org/10.1093/nar/gkae1071" TargetMode="External"/><Relationship Id="rId22" Type="http://schemas.openxmlformats.org/officeDocument/2006/relationships/hyperlink" Target="https://doi.org/10.1016/j.ddtec.2005.08.012" TargetMode="External"/><Relationship Id="rId23" Type="http://schemas.openxmlformats.org/officeDocument/2006/relationships/hyperlink" Target="https://doi.org/10.1021/bi00035a029" TargetMode="External"/><Relationship Id="rId24" Type="http://schemas.openxmlformats.org/officeDocument/2006/relationships/hyperlink" Target="https://doi.org/10.1089/nat.2024.0072" TargetMode="External"/><Relationship Id="rId25" Type="http://schemas.openxmlformats.org/officeDocument/2006/relationships/hyperlink" Target="https://doi.org/10.3390/ijms19071855"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