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 and that absence is why this work exists.</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before recommending any.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w:t>
      </w:r>
      <w:r>
        <w:rPr>
          <w:position w:val="7"/>
          <w:sz w:val="17"/>
        </w:rPr>
        <w:t>22</w:t>
      </w:r>
      <w:r>
        <w:rPr/>
        <w:t xml:space="preserve">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§5 specifies, against the wild-type parent §3 identifies as the liability.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the condemned class reaches these reagents: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to retain knockdown at more extensively mismatched sites than a conventional design does,</w:t>
      </w:r>
      <w:r>
        <w:rPr>
          <w:position w:val="7"/>
          <w:sz w:val="17"/>
        </w:rPr>
        <w:t>22</w:t>
      </w:r>
      <w:r>
        <w:rPr/>
        <w:t xml:space="preserve">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on grounds the extended report sets out.</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What the screen does establish is structural rather than statistical, and it does not depend on the cut: each parent supplies about half of any junction design, which is far outside the mismatch budget of a conventional off-target search, so that search cannot return a parent as a near-match at any threshold it is normally run at. The liability is therefore invisible to the instrument a designer would ordinarily use, which is the case for screening it directly whatever cut is adopted.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One reading is nonetheless more parsimonious, and it favours the reagents named here. EMC's defining lesion produces a chimeric transcription factor.</w:t>
      </w:r>
      <w:r>
        <w:rPr>
          <w:position w:val="7"/>
          <w:sz w:val="17"/>
        </w:rPr>
        <w:t>1,14</w:t>
      </w:r>
      <w:r>
        <w:rPr/>
        <w:t xml:space="preserve"> A donor joined to </w:t>
      </w:r>
      <w:r>
        <w:rPr>
          <w:rStyle w:val="Emphasis"/>
        </w:rPr>
        <w:t>NR4A3</w:t>
      </w:r>
      <w:r>
        <w:rPr/>
        <w:t xml:space="preserve">'s non-coding exon 2 would sit upstream of that gene's own initiation codon and so would not yield one; a donor joined to its first coding exon does, and that exon is transcript exon 3, the acceptor this panel is tiled at. On the coding-exon reading, therefore, the two cell models carry the junctions the reagents above span. This is an inference and not a determination: a 5′-untranslated acceptor is reported in this disease at least once, in a </w:t>
      </w:r>
      <w:r>
        <w:rPr>
          <w:rStyle w:val="Emphasis"/>
        </w:rPr>
        <w:t>PGR</w:t>
      </w:r>
      <w:r>
        <w:rPr/>
        <w:t>::</w:t>
      </w:r>
      <w:r>
        <w:rPr>
          <w:rStyle w:val="Emphasis"/>
        </w:rPr>
        <w:t>NR4A3</w:t>
      </w:r>
      <w:r>
        <w:rPr/>
        <w:t xml:space="preserve"> case,</w:t>
      </w:r>
      <w:r>
        <w:rPr>
          <w:position w:val="7"/>
          <w:sz w:val="17"/>
        </w:rPr>
        <w:t>16</w:t>
      </w:r>
      <w:r>
        <w:rPr/>
        <w:t xml:space="preserve"> and the requirement below is unchanged. The released builder will not emit an exon-2 acceptor unaided: a non-coding acceptor needs its published-breakpoint list extended first. Reagents exist at both acceptors, neither of them a molecule named above: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17</w:t>
      </w:r>
      <w:r>
        <w:rPr/>
        <w:t xml:space="preserve"> The extended report specifies it for these reagents, with three controls a knockdown assay alone cannot distinguish. Two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8,9,10,18</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extended report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7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19</w:t>
      </w:r>
      <w:r>
        <w:rPr/>
        <w:t xml:space="preserve"> Junction-spanning 16-mer gapmers were tiled in a 5-6-5 β-D-oxy-locked-nucleic-acid/DNA/β-D-oxy-locked-nucleic-acid geometry,</w:t>
      </w:r>
      <w:r>
        <w:rPr>
          <w:position w:val="7"/>
          <w:sz w:val="17"/>
        </w:rPr>
        <w:t>20</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which is the search scope the 2025 recommendations ask for.</w:t>
      </w:r>
      <w:r>
        <w:rPr>
          <w:position w:val="7"/>
          <w:sz w:val="17"/>
        </w:rPr>
        <w:t>22</w:t>
      </w:r>
      <w:r>
        <w:rPr/>
        <w:t xml:space="preserve"> A near-match is a transcript window pairing a design at 14 or more of its 16 positions. Each alignment was then re-scored on the nearest-neighbour stability of its longest contiguous paired run, the energy-based second stage those recommendations prescribe;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w:t>
      </w:r>
      <w:r>
        <w:rPr>
          <w:position w:val="7"/>
          <w:sz w:val="17"/>
        </w:rPr>
        <w:t>21</w:t>
      </w:r>
      <w:r>
        <w:rPr/>
        <w:t xml:space="preserve"> Those parameters do not describe a locked, phosphorothioate oligonucleotide, so no absolute melting point is reported for these reagents; only the fusion-versus-parent separation is, and as a floor, because the fusion duplex pairs all ten locked residues where each parent half-duplex pairs five, by construction for every design here.</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It is a floor, by the method and for the reason given in Methods;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 The two control oligonucleotides, each screened as its reagent was</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et al. (1995). Oncogenic conversion of a novel orphan nuclear receptor by chromosome translocation. Hum Mol Genet 4:2219–2226. </w:t>
      </w:r>
      <w:hyperlink r:id="rId7">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et al. (2021). Extraskeletal Myxoid Chondrosarcoma with Molecularly Confirmed Diagnosis: A Multicenter Retrospective Study Within the Italian Sarcoma Group. Ann Surg Oncol 28:1142–1150. </w:t>
      </w:r>
      <w:hyperlink r:id="rId8">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et al. (2025). From pathogenesis to the patient's bedside: a comprehensive review of extraskeletal myxoid chondrosarcoma. J Cancer Res Clin Oncol 151:283. </w:t>
      </w:r>
      <w:hyperlink r:id="rId9">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et al. (2013). Anthracycline-based chemotherapy in extraskeletal myxoid chondrosarcoma: a retrospective study. Clin Sarcoma Res 3:16. </w:t>
      </w:r>
      <w:hyperlink r:id="rId10">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et al. (2019). Pazopanib for treatment of advanced extraskeletal myxoid chondrosarcoma: a multicentre, single-arm, phase 2 trial. Lancet Oncol 20:1252–1262. </w:t>
      </w:r>
      <w:hyperlink r:id="rId11">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et al.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et al. (1997). Inhibition of EWS-FLI-1 fusion protein with antisense oligodeoxynucleotides. J Neurooncol 31:9–16. </w:t>
      </w:r>
      <w:hyperlink r:id="rId12">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et al. (2020). RNAi technology targeting the FGFR3-TACC3 fusion breakpoint: an opportunity for precision medicine. Neurooncol Adv 2:vdaa132. </w:t>
      </w:r>
      <w:hyperlink r:id="rId13">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4">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et al. (2012). Highly specific targeting of the TMPRSS2/ERG fusion gene using liposomal nanovectors. Clin Cancer Res 18:6648–6657. </w:t>
      </w:r>
      <w:hyperlink r:id="rId1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et al. (2024). GalNAc-conjugated siRNA targeting the DNAJB1-PRKACA fusion junction in fibrolamellar hepatocellular carcinoma. Mol Ther 32:140–151. </w:t>
      </w:r>
      <w:hyperlink r:id="rId16">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et al. (2002). Molecular genetic characterization of the EWS/CHN and RBP56/CHN fusion genes in extraskeletal myxoid chondrosarcoma. Genes Chromosomes Cancer 35:340–352. </w:t>
      </w:r>
      <w:hyperlink r:id="rId17">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et al. (2023). Extraskeletal Myxoid Chondrosarcomas: The Uncommon Clinicopathologic Manifestations and Significance of TAF15::NR4A3 Fusion. Mod Pathol 36:100161. </w:t>
      </w:r>
      <w:hyperlink r:id="rId18">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et al. (2019). NR4A3 fusion proteins trigger an axon guidance switch that marks the difference between EWSR1 and TAF15 translocated extraskeletal myxoid chondrosarcomas. J Pathol 249:90–101. </w:t>
      </w:r>
      <w:hyperlink r:id="rId19">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et al. (2023). Establishment, characterization and functional testing of two novel ex vivo extraskeletal myxoid chondrosarcoma (EMC) cell models. Hum Cell 36:446–455. </w:t>
      </w:r>
      <w:hyperlink r:id="rId20">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et al.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et al. (2023). Reduction of Tumor Growth with RNA-Targeting Treatment of the NAB2-STAT6 Fusion Transcript in Solitary Fibrous Tumor Models. Cancers (Basel) 15:3127. </w:t>
      </w:r>
      <w:hyperlink r:id="rId22">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et al. (2023). Cancer-Specific Sequences in the Diagnosis and Treatment of NUT Carcinoma. Cancer Res Treat 55:452–467. </w:t>
      </w:r>
      <w:hyperlink r:id="rId23">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 53:D948–D957. </w:t>
      </w:r>
      <w:hyperlink r:id="rId24">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et al. (1995). Thermodynamic parameters to predict stability of RNA/DNA hybrid duplexes. Biochemistry 34:11211–11216. </w:t>
      </w:r>
      <w:hyperlink r:id="rId26">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Andersson P, SA Burel, H Estrella, et al. (2025). Assessing Hybridization-Dependent Off-Target Risk for Therapeutic Oligonucleotides: Updated Industry Recommendations. Nucleic Acid Ther 35:16–33. </w:t>
      </w:r>
      <w:hyperlink r:id="rId27">
        <w:r>
          <w:rPr>
            <w:rStyle w:val="Hyperlink"/>
          </w:rPr>
          <w:t>doi:10.1089/nat.2024.0072</w:t>
        </w:r>
      </w:hyperlink>
      <w:r>
        <w:rPr/>
        <w:t xml:space="preserve">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doi.org/10.1093/hmg/4.12.2219" TargetMode="External"/><Relationship Id="rId8" Type="http://schemas.openxmlformats.org/officeDocument/2006/relationships/hyperlink" Target="https://doi.org/10.1245/s10434-020-08737-7" TargetMode="External"/><Relationship Id="rId9" Type="http://schemas.openxmlformats.org/officeDocument/2006/relationships/hyperlink" Target="https://doi.org/10.1007/s00432-025-06316-5" TargetMode="External"/><Relationship Id="rId10" Type="http://schemas.openxmlformats.org/officeDocument/2006/relationships/hyperlink" Target="https://doi.org/10.1186/2045-3329-3-16" TargetMode="External"/><Relationship Id="rId11" Type="http://schemas.openxmlformats.org/officeDocument/2006/relationships/hyperlink" Target="https://doi.org/10.1016/S1470-2045(19)30319-5" TargetMode="External"/><Relationship Id="rId12" Type="http://schemas.openxmlformats.org/officeDocument/2006/relationships/hyperlink" Target="https://doi.org/10.1023/a:1005716926800" TargetMode="External"/><Relationship Id="rId13" Type="http://schemas.openxmlformats.org/officeDocument/2006/relationships/hyperlink" Target="https://doi.org/10.1093/noajnl/vdaa132" TargetMode="External"/><Relationship Id="rId14" Type="http://schemas.openxmlformats.org/officeDocument/2006/relationships/hyperlink" Target="https://doi.org/10.1089/hum.2011.079" TargetMode="External"/><Relationship Id="rId15" Type="http://schemas.openxmlformats.org/officeDocument/2006/relationships/hyperlink" Target="https://doi.org/10.1158/1078-0432.ccr-12-2715" TargetMode="External"/><Relationship Id="rId16" Type="http://schemas.openxmlformats.org/officeDocument/2006/relationships/hyperlink" Target="https://doi.org/10.1016/j.ymthe.2023.11.012" TargetMode="External"/><Relationship Id="rId17" Type="http://schemas.openxmlformats.org/officeDocument/2006/relationships/hyperlink" Target="https://doi.org/10.1002/gcc.10127" TargetMode="External"/><Relationship Id="rId18" Type="http://schemas.openxmlformats.org/officeDocument/2006/relationships/hyperlink" Target="https://doi.org/10.1016/j.modpat.2023.100161" TargetMode="External"/><Relationship Id="rId19" Type="http://schemas.openxmlformats.org/officeDocument/2006/relationships/hyperlink" Target="https://doi.org/10.1002/path.5284" TargetMode="External"/><Relationship Id="rId20" Type="http://schemas.openxmlformats.org/officeDocument/2006/relationships/hyperlink" Target="https://doi.org/10.1007/s13577-022-00818-x" TargetMode="External"/><Relationship Id="rId21" Type="http://schemas.openxmlformats.org/officeDocument/2006/relationships/hyperlink" Target="https://doi.org/10.1200/po.22.00039" TargetMode="External"/><Relationship Id="rId22" Type="http://schemas.openxmlformats.org/officeDocument/2006/relationships/hyperlink" Target="https://doi.org/10.3390/cancers15123127" TargetMode="External"/><Relationship Id="rId23" Type="http://schemas.openxmlformats.org/officeDocument/2006/relationships/hyperlink" Target="https://doi.org/10.4143/crt.2022.910" TargetMode="External"/><Relationship Id="rId24" Type="http://schemas.openxmlformats.org/officeDocument/2006/relationships/hyperlink" Target="https://doi.org/10.1093/nar/gkae1071" TargetMode="External"/><Relationship Id="rId25" Type="http://schemas.openxmlformats.org/officeDocument/2006/relationships/hyperlink" Target="https://doi.org/10.1016/j.ddtec.2005.08.012" TargetMode="External"/><Relationship Id="rId26" Type="http://schemas.openxmlformats.org/officeDocument/2006/relationships/hyperlink" Target="https://doi.org/10.1021/bi00035a029" TargetMode="External"/><Relationship Id="rId27" Type="http://schemas.openxmlformats.org/officeDocument/2006/relationships/hyperlink" Target="https://doi.org/10.1089/nat.2024.0072" TargetMode="Externa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