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Cover letter draft</w:t>
      </w:r>
    </w:p>
    <w:p>
      <w:r>
        <w:rPr>
          <w:b w:val="0"/>
          <w:i w:val="0"/>
        </w:rPr>
        <w:t>Dear Editors,</w:t>
      </w:r>
    </w:p>
    <w:p>
      <w:pPr/>
      <w:r>
        <w:rPr>
          <w:b w:val="0"/>
        </w:rPr>
        <w:t>Please consider “Expression portability of reported NR4A3-fusion targets in extraskeletal myxoid chondrosarcoma” as an Original Research Article for Cancer Genetics.</w:t>
      </w:r>
    </w:p>
    <w:p>
      <w:pPr/>
      <w:r>
        <w:rPr>
          <w:b w:val="0"/>
        </w:rPr>
        <w:t>This public-data reanalysis asks how expression of three reported NR4A3-fusion targets varies across EMC cohorts and comparator histologies. ENO3 remains elevated across the reported comparator and reference-pool checks. PPARG's strongest array result reuses its discovery dataset, while SEMA3C changes direction with the comparator. The contribution is a qualified account of expression portability, not discovery of ENO3 elevation or proof of fusion causation.</w:t>
      </w:r>
    </w:p>
    <w:p>
      <w:pPr/>
      <w:r>
        <w:rPr>
          <w:b w:val="0"/>
        </w:rPr>
        <w:t>The heterogeneous fusion-plus-native target aggregate and its random-set comparisons remain as complementary analyses, including their negative result. They do not establish whether EMC has a fusion-driven transcriptional programme or introduce a new statistical method. The bounded chromatin search and surrogate comparisons retain their stated source limits. All underlying numerical findings are unchanged.</w:t>
      </w:r>
    </w:p>
    <w:p>
      <w:r>
        <w:rPr>
          <w:b w:val="0"/>
          <w:i w:val="0"/>
        </w:rPr>
        <w:t>The underlying report is public on aiXiv, including version 1.1: https://aixiv.science/abs/aixiv.260823.000001. This journal adaptation reorganizes existing computational findings and adds no new scientific analysis. The manuscript discloses funding, competing interests—including the author’s non-financial interest as an EMC survivor—and AI assistance.</w:t>
      </w:r>
    </w:p>
    <w:p>
      <w:r>
        <w:rPr>
          <w:b w:val="0"/>
          <w:i w:val="0"/>
        </w:rPr>
        <w:t>Sincerely,</w:t>
      </w:r>
    </w:p>
    <w:p>
      <w:r>
        <w:rPr>
          <w:b w:val="0"/>
          <w:i w:val="0"/>
        </w:rPr>
        <w:t>Tristan D. McRae</w:t>
      </w:r>
    </w:p>
    <w:p>
      <w:r>
        <w:rPr>
          <w:b w:val="0"/>
          <w:i w:val="0"/>
        </w:rPr>
        <w:t>Independent Researcher</w:t>
      </w:r>
    </w:p>
    <w:p>
      <w:r>
        <w:rPr>
          <w:b w:val="0"/>
          <w:i w:val="0"/>
        </w:rPr>
        <w:t>trimcrae@gmail.com</w:t>
      </w:r>
    </w:p>
    <w:sectPr w:rsidR="00FC693F" w:rsidRPr="0006063C" w:rsidSect="00034616">
      <w:footerReference w:type="default" r:id="rId9"/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draft</dc:title>
  <dc:subject/>
  <dc:creator>python-docx</dc:creator>
  <cp:keywords/>
  <dc:description>generated by python-docx</dc:description>
  <cp:lastModifiedBy/>
  <cp:revision>1</cp:revision>
  <dcterms:created xsi:type="dcterms:W3CDTF">2026-09-18T16:00:44Z</dcterms:created>
  <dcterms:modified xsi:type="dcterms:W3CDTF">2026-09-18T16:00:44Z</dcterms:modified>
  <cp:category/>
</cp:coreProperties>
</file>