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Highlights</w:t>
      </w:r>
    </w:p>
    <w:p>
      <w:pPr/>
      <w:r>
        <w:rPr>
          <w:b w:val="0"/>
        </w:rPr>
        <w:t>- Reported NR4A3-fusion targets differ in expression portability across cohorts.</w:t>
      </w:r>
    </w:p>
    <w:p>
      <w:pPr/>
      <w:r>
        <w:rPr>
          <w:b w:val="0"/>
        </w:rPr>
        <w:t>- ENO3 retains its RNA association across comparator and reference-pool checks.</w:t>
      </w:r>
    </w:p>
    <w:p>
      <w:pPr/>
      <w:r>
        <w:rPr>
          <w:b w:val="0"/>
        </w:rPr>
        <w:t>- PPARG's strongest array result reuses its discovery dataset.</w:t>
      </w:r>
    </w:p>
    <w:p>
      <w:pPr/>
      <w:r>
        <w:rPr>
          <w:b w:val="0"/>
        </w:rPr>
        <w:t>- SEMA3C changes direction with the comparator histology.</w:t>
      </w:r>
    </w:p>
    <w:p>
      <w:pPr/>
      <w:r>
        <w:rPr>
          <w:b w:val="0"/>
        </w:rPr>
        <w:t>- These RNA associations and set comparisons do not establish fusion causation.</w:t>
      </w:r>
    </w:p>
    <w:sectPr w:rsidR="00FC693F" w:rsidRPr="0006063C" w:rsidSect="00034616">
      <w:footerReference w:type="default" r:id="rId9"/>
      <w:pgSz w:w="11906" w:h="16838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python-docx</dc:creator>
  <cp:keywords/>
  <dc:description>generated by python-docx</dc:description>
  <cp:lastModifiedBy/>
  <cp:revision>1</cp:revision>
  <dcterms:created xsi:type="dcterms:W3CDTF">2026-09-18T16:00:44Z</dcterms:created>
  <dcterms:modified xsi:type="dcterms:W3CDTF">2026-09-18T16:00:44Z</dcterms:modified>
  <cp:category/>
</cp:coreProperties>
</file>