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Information</w:t>
      </w:r>
    </w:p>
    <w:p>
      <w:pPr/>
      <w:r>
        <w:t>Interpretive update—18 September 2026. These supplements accompany the revised manuscript on expression portability of reported NR4A3-fusion targets. Numerical results and analysis procedures are unchanged. SI1 §S1.3 preserves the historical protocol, and SI2 Appendix A preserves the dated correction history; their descriptions of the paper's contribution and interpretation refer to those earlier stages. The current interpretation is given in the revised main manuscript. Competitive gene-set nonexceedance does not invalidate a measured expression contrast, establish equivalence, or refute reported binding evidence. Search results describe the stated queries and sources. Appendix B outlines possible follow-up evidence; it does not establish mechanisms from the present expression comparisons.</w:t>
      </w:r>
    </w:p>
    <w:p>
      <w:pPr/>
      <w:r>
        <w:t>For: Expression portability of reported NR4A3-fusion targets in extraskeletal myxoid chondrosarcoma.</w:t>
      </w:r>
    </w:p>
    <w:p>
      <w:r>
        <w:rPr>
          <w:b w:val="0"/>
          <w:i w:val="0"/>
        </w:rPr>
        <w:t>This supplement contains the detailed methods and complete supporting tables for the main text. Section S1 defines probe mapping, score eligibility and circularity; S2–S3 contain the evidence catalogue and set scores; S4–S5 report activity and robustness analyses; S6 gives sequence-scan parameters; and S7–S8 preserve the search and genome-build evidence. Every table is generated from a committed artifact rather than re-typed from prose. The producers are listed in Supplementary File 2, Table S17. The pre-registered rule in S1.3 is retained verbatim as a historical protocol, including its reported limitations.</w:t>
      </w:r>
    </w:p>
    <w:p>
      <w:pPr>
        <w:pStyle w:val="Heading1"/>
      </w:pPr>
      <w:r>
        <w:rPr>
          <w:b w:val="0"/>
          <w:i w:val="0"/>
        </w:rPr>
        <w:t>S1 · Method detail</w:t>
      </w:r>
    </w:p>
    <w:p>
      <w:pPr>
        <w:pStyle w:val="Heading2"/>
      </w:pPr>
      <w:r>
        <w:rPr>
          <w:b w:val="0"/>
          <w:i w:val="0"/>
        </w:rPr>
        <w:t>S1.1 · Probe mapping and floors</w:t>
      </w:r>
    </w:p>
    <w:p>
      <w:r>
        <w:rPr>
          <w:b w:val="0"/>
          <w:i w:val="0"/>
        </w:rPr>
        <w:t>Probes were mapped to gene symbols per platform. GPL6244: 20,230 of 28,459 probes carry a symbol, giving 18,694 distinct symbols. GPL3290 maps 27,203 of 43,008 spots through an EST-accession bridge to 14,932 distinct symbols. A gene that cannot be read may be missing from the bridge rather than the array. We record it as unread, not absent.</w:t>
      </w:r>
    </w:p>
    <w:p>
      <w:r>
        <w:rPr>
          <w:b w:val="0"/>
          <w:i w:val="0"/>
        </w:rPr>
        <w:t xml:space="preserve">Scores are standardized within each array. We z-score each sample's values against its own probe distribution. A gene's score is the mean z-score of probes mapped to that gene; a gene-set score is the mean over its readable members. We require </w:t>
      </w:r>
      <w:r>
        <w:rPr>
          <w:b/>
          <w:i w:val="0"/>
        </w:rPr>
        <w:t>three samples per group</w:t>
      </w:r>
      <w:r>
        <w:rPr>
          <w:b w:val="0"/>
          <w:i w:val="0"/>
        </w:rPr>
        <w:t xml:space="preserve"> for a contrast, and </w:t>
      </w:r>
      <w:r>
        <w:rPr>
          <w:b/>
          <w:i w:val="0"/>
        </w:rPr>
        <w:t>four genes and 0.4 coverage</w:t>
      </w:r>
      <w:r>
        <w:rPr>
          <w:b w:val="0"/>
          <w:i w:val="0"/>
        </w:rPr>
        <w:t xml:space="preserve"> for a gene-set score. Coverage here is the fraction of the set that the platform can read. A set below either floor produces no score and is marked accordingly. Class A contains three genes, so it is never scored alone as a set.</w:t>
      </w:r>
    </w:p>
    <w:p>
      <w:pPr>
        <w:pStyle w:val="Heading2"/>
      </w:pPr>
      <w:r>
        <w:rPr>
          <w:b w:val="0"/>
          <w:i w:val="0"/>
        </w:rPr>
        <w:t>S1.2 · The circularity grade</w:t>
      </w:r>
    </w:p>
    <w:p>
      <w:r>
        <w:rPr>
          <w:b w:val="0"/>
          <w:i w:val="0"/>
        </w:rPr>
        <w:t>Whether GSE4303 is the Subramanian (2005) cohort was graded from the fetched GEO series record, never from sample counts: the record's title, summary, contributors and linked PubMed identifier were read verbatim.</w:t>
      </w:r>
    </w:p>
    <w:p>
      <w:r>
        <w:rPr>
          <w:b w:val="0"/>
          <w:i w:val="0"/>
        </w:rPr>
        <w:t xml:space="preserve">A record naming PMID 15920699 or Subramanian is graded </w:t>
      </w:r>
      <w:r>
        <w:rPr>
          <w:b/>
          <w:i w:val="0"/>
        </w:rPr>
        <w:t>circular</w:t>
      </w:r>
      <w:r>
        <w:rPr>
          <w:b w:val="0"/>
          <w:i w:val="0"/>
        </w:rPr>
        <w:t xml:space="preserve">. A record naming neither is graded </w:t>
      </w:r>
      <w:r>
        <w:rPr>
          <w:b w:val="0"/>
          <w:i/>
        </w:rPr>
        <w:t>not-clean</w:t>
      </w:r>
      <w:r>
        <w:rPr>
          <w:b w:val="0"/>
          <w:i w:val="0"/>
        </w:rPr>
        <w:t xml:space="preserve">, because omission is not evidence of independence. An unreadable record is graded </w:t>
      </w:r>
      <w:r>
        <w:rPr>
          <w:b w:val="0"/>
          <w:i/>
        </w:rPr>
        <w:t>unanswered</w:t>
      </w:r>
      <w:r>
        <w:rPr>
          <w:b w:val="0"/>
          <w:i w:val="0"/>
        </w:rPr>
        <w:t>.</w:t>
      </w:r>
    </w:p>
    <w:p>
      <w:r>
        <w:rPr>
          <w:b w:val="0"/>
          <w:i w:val="0"/>
        </w:rPr>
        <w:t xml:space="preserve">The record does name both, so the verdict is circular, which is what makes both the set-E score and the </w:t>
      </w:r>
      <w:r>
        <w:rPr>
          <w:b w:val="0"/>
          <w:i/>
        </w:rPr>
        <w:t>PPARG</w:t>
      </w:r>
      <w:r>
        <w:rPr>
          <w:b w:val="0"/>
          <w:i w:val="0"/>
        </w:rPr>
        <w:t xml:space="preserve"> gene row on that platform non-independent (main text §3.8).</w:t>
      </w:r>
    </w:p>
    <w:p>
      <w:pPr>
        <w:pStyle w:val="Heading2"/>
      </w:pPr>
      <w:r>
        <w:rPr>
          <w:b w:val="0"/>
          <w:i w:val="0"/>
        </w:rPr>
        <w:t>S1.3 · The pre-registered decision rule, and how it landed</w:t>
      </w:r>
    </w:p>
    <w:p>
      <w:r>
        <w:rPr>
          <w:b w:val="0"/>
          <w:i w:val="0"/>
        </w:rPr>
        <w:t>A six-branch decision rule was written and committed while the measurement run was still executing, so the verdict could not be fitted to whatever came back. Each branch carried its sentence, its ceiling and its next step in advance.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156"/>
        <w:gridCol w:w="5421"/>
        <w:gridCol w:w="6539"/>
      </w:tblGrid>
      <w:tr>
        <w:trPr>
          <w:cantSplit/>
          <w:tblHeader/>
        </w:trPr>
        <w:tc>
          <w:tcPr>
            <w:tcW w:type="dxa" w:w="2156"/>
            <w:tcMar>
              <w:top w:w="80" w:type="dxa"/>
              <w:left w:w="80" w:type="dxa"/>
              <w:bottom w:w="80" w:type="dxa"/>
              <w:right w:w="80" w:type="dxa"/>
            </w:tcMar>
          </w:tcPr>
          <w:p>
            <w:pPr>
              <w:keepNext/>
              <w:spacing w:after="60" w:line="240" w:lineRule="auto"/>
            </w:pPr>
            <w:r>
              <w:rPr>
                <w:b/>
                <w:i w:val="0"/>
                <w:sz w:val="19"/>
              </w:rPr>
              <w:t>#</w:t>
            </w:r>
          </w:p>
        </w:tc>
        <w:tc>
          <w:tcPr>
            <w:tcW w:type="dxa" w:w="5421"/>
            <w:tcMar>
              <w:top w:w="80" w:type="dxa"/>
              <w:left w:w="80" w:type="dxa"/>
              <w:bottom w:w="80" w:type="dxa"/>
              <w:right w:w="80" w:type="dxa"/>
            </w:tcMar>
          </w:tcPr>
          <w:p>
            <w:pPr>
              <w:keepNext/>
              <w:spacing w:after="60" w:line="240" w:lineRule="auto"/>
            </w:pPr>
            <w:r>
              <w:rPr>
                <w:b/>
                <w:i w:val="0"/>
                <w:sz w:val="19"/>
              </w:rPr>
              <w:t>outcome</w:t>
            </w:r>
          </w:p>
        </w:tc>
        <w:tc>
          <w:tcPr>
            <w:tcW w:type="dxa" w:w="6539"/>
            <w:tcMar>
              <w:top w:w="80" w:type="dxa"/>
              <w:left w:w="80" w:type="dxa"/>
              <w:bottom w:w="80" w:type="dxa"/>
              <w:right w:w="80" w:type="dxa"/>
            </w:tcMar>
          </w:tcPr>
          <w:p>
            <w:pPr>
              <w:keepNext/>
              <w:spacing w:after="60" w:line="240" w:lineRule="auto"/>
            </w:pPr>
            <w:r>
              <w:rPr>
                <w:b/>
                <w:i w:val="0"/>
                <w:sz w:val="19"/>
              </w:rPr>
              <w:t>what it licenses</w:t>
            </w:r>
          </w:p>
        </w:tc>
      </w:tr>
      <w:tr>
        <w:trPr>
          <w:cantSplit/>
        </w:trPr>
        <w:tc>
          <w:tcPr>
            <w:tcW w:type="dxa" w:w="2156"/>
            <w:tcMar>
              <w:top w:w="80" w:type="dxa"/>
              <w:left w:w="80" w:type="dxa"/>
              <w:bottom w:w="80" w:type="dxa"/>
              <w:right w:w="80" w:type="dxa"/>
            </w:tcMar>
          </w:tcPr>
          <w:p>
            <w:pPr>
              <w:spacing w:after="60" w:line="240" w:lineRule="auto"/>
            </w:pPr>
            <w:r>
              <w:rPr>
                <w:b/>
                <w:i w:val="0"/>
                <w:sz w:val="19"/>
              </w:rPr>
              <w:t>A</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w:t>
            </w:r>
            <w:r>
              <w:rPr>
                <w:b/>
                <w:i w:val="0"/>
                <w:sz w:val="19"/>
              </w:rPr>
              <w:t>and</w:t>
            </w:r>
            <w:r>
              <w:rPr>
                <w:b w:val="0"/>
                <w:i w:val="0"/>
                <w:sz w:val="19"/>
              </w:rPr>
              <w:t xml:space="preserve"> class A (or A+B) clears its null on </w:t>
            </w:r>
            <w:r>
              <w:rPr>
                <w:b/>
                <w:i w:val="0"/>
                <w:sz w:val="19"/>
              </w:rPr>
              <w:t>both</w:t>
            </w:r>
            <w:r>
              <w:rPr>
                <w:b w:val="0"/>
                <w:i w:val="0"/>
                <w:sz w:val="19"/>
              </w:rPr>
              <w:t xml:space="preserve"> platforms </w:t>
            </w:r>
            <w:r>
              <w:rPr>
                <w:b/>
                <w:i w:val="0"/>
                <w:sz w:val="19"/>
              </w:rPr>
              <w:t>and</w:t>
            </w:r>
            <w:r>
              <w:rPr>
                <w:b w:val="0"/>
                <w:i w:val="0"/>
                <w:sz w:val="19"/>
              </w:rPr>
              <w:t xml:space="preserve"> </w:t>
            </w:r>
            <w:r>
              <w:rPr>
                <w:b w:val="0"/>
                <w:i/>
                <w:sz w:val="19"/>
              </w:rPr>
              <w:t>PLAGL1</w:t>
            </w:r>
            <w:r>
              <w:rPr>
                <w:b w:val="0"/>
                <w:i w:val="0"/>
                <w:sz w:val="19"/>
              </w:rPr>
              <w:t xml:space="preserve"> reads down</w:t>
            </w:r>
          </w:p>
        </w:tc>
        <w:tc>
          <w:tcPr>
            <w:tcW w:type="dxa" w:w="6539"/>
            <w:tcMar>
              <w:top w:w="80" w:type="dxa"/>
              <w:left w:w="80" w:type="dxa"/>
              <w:bottom w:w="80" w:type="dxa"/>
              <w:right w:w="80" w:type="dxa"/>
            </w:tcMar>
          </w:tcPr>
          <w:p>
            <w:pPr>
              <w:spacing w:after="60" w:line="240" w:lineRule="auto"/>
            </w:pPr>
            <w:r>
              <w:rPr>
                <w:b w:val="0"/>
                <w:i w:val="0"/>
                <w:sz w:val="19"/>
              </w:rPr>
              <w:t>A positive, EMC-specific result, with the ceiling attached in the same paragraph.</w:t>
            </w:r>
          </w:p>
        </w:tc>
      </w:tr>
      <w:tr>
        <w:trPr>
          <w:cantSplit/>
        </w:trPr>
        <w:tc>
          <w:tcPr>
            <w:tcW w:type="dxa" w:w="2156"/>
            <w:tcMar>
              <w:top w:w="80" w:type="dxa"/>
              <w:left w:w="80" w:type="dxa"/>
              <w:bottom w:w="80" w:type="dxa"/>
              <w:right w:w="80" w:type="dxa"/>
            </w:tcMar>
          </w:tcPr>
          <w:p>
            <w:pPr>
              <w:spacing w:after="60" w:line="240" w:lineRule="auto"/>
            </w:pPr>
            <w:r>
              <w:rPr>
                <w:b/>
                <w:i w:val="0"/>
                <w:sz w:val="19"/>
              </w:rPr>
              <w:t>B</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class A clears its null on </w:t>
            </w:r>
            <w:r>
              <w:rPr>
                <w:b/>
                <w:i w:val="0"/>
                <w:sz w:val="19"/>
              </w:rPr>
              <w:t>one</w:t>
            </w:r>
            <w:r>
              <w:rPr>
                <w:b w:val="0"/>
                <w:i w:val="0"/>
                <w:sz w:val="19"/>
              </w:rPr>
              <w:t xml:space="preserve"> platform only</w:t>
            </w:r>
          </w:p>
        </w:tc>
        <w:tc>
          <w:tcPr>
            <w:tcW w:type="dxa" w:w="6539"/>
            <w:tcMar>
              <w:top w:w="80" w:type="dxa"/>
              <w:left w:w="80" w:type="dxa"/>
              <w:bottom w:w="80" w:type="dxa"/>
              <w:right w:w="80" w:type="dxa"/>
            </w:tcMar>
          </w:tcPr>
          <w:p>
            <w:pPr>
              <w:spacing w:after="60" w:line="240" w:lineRule="auto"/>
            </w:pPr>
            <w:r>
              <w:rPr>
                <w:b w:val="0"/>
                <w:i w:val="0"/>
                <w:sz w:val="19"/>
              </w:rPr>
              <w:t>A single-platform observation, reported as one.</w:t>
            </w:r>
          </w:p>
        </w:tc>
      </w:tr>
      <w:tr>
        <w:trPr>
          <w:cantSplit/>
        </w:trPr>
        <w:tc>
          <w:tcPr>
            <w:tcW w:type="dxa" w:w="2156"/>
            <w:tcMar>
              <w:top w:w="80" w:type="dxa"/>
              <w:left w:w="80" w:type="dxa"/>
              <w:bottom w:w="80" w:type="dxa"/>
              <w:right w:w="80" w:type="dxa"/>
            </w:tcMar>
          </w:tcPr>
          <w:p>
            <w:pPr>
              <w:spacing w:after="60" w:line="240" w:lineRule="auto"/>
            </w:pPr>
            <w:r>
              <w:rPr>
                <w:b/>
                <w:i w:val="0"/>
                <w:sz w:val="19"/>
              </w:rPr>
              <w:t>C</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w:t>
            </w:r>
            <w:r>
              <w:rPr>
                <w:b/>
                <w:i w:val="0"/>
                <w:sz w:val="19"/>
              </w:rPr>
              <w:t>nothing</w:t>
            </w:r>
            <w:r>
              <w:rPr>
                <w:b w:val="0"/>
                <w:i w:val="0"/>
                <w:sz w:val="19"/>
              </w:rPr>
              <w:t xml:space="preserve"> clears its null</w:t>
            </w:r>
          </w:p>
        </w:tc>
        <w:tc>
          <w:tcPr>
            <w:tcW w:type="dxa" w:w="6539"/>
            <w:tcMar>
              <w:top w:w="80" w:type="dxa"/>
              <w:left w:w="80" w:type="dxa"/>
              <w:bottom w:w="80" w:type="dxa"/>
              <w:right w:w="80" w:type="dxa"/>
            </w:tcMar>
          </w:tcPr>
          <w:p>
            <w:pPr>
              <w:spacing w:after="60" w:line="240" w:lineRule="auto"/>
            </w:pPr>
            <w:r>
              <w:rPr>
                <w:b w:val="0"/>
                <w:i w:val="0"/>
                <w:sz w:val="19"/>
              </w:rPr>
              <w:t>Still a result: the published target set is not distinguishable from a size-matched random gene set.</w:t>
            </w:r>
          </w:p>
        </w:tc>
      </w:tr>
      <w:tr>
        <w:trPr>
          <w:cantSplit/>
        </w:trPr>
        <w:tc>
          <w:tcPr>
            <w:tcW w:type="dxa" w:w="2156"/>
            <w:tcMar>
              <w:top w:w="80" w:type="dxa"/>
              <w:left w:w="80" w:type="dxa"/>
              <w:bottom w:w="80" w:type="dxa"/>
              <w:right w:w="80" w:type="dxa"/>
            </w:tcMar>
          </w:tcPr>
          <w:p>
            <w:pPr>
              <w:spacing w:after="60" w:line="240" w:lineRule="auto"/>
            </w:pPr>
            <w:r>
              <w:rPr>
                <w:b/>
                <w:i w:val="0"/>
                <w:sz w:val="19"/>
              </w:rPr>
              <w:t>D</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does </w:t>
            </w:r>
            <w:r>
              <w:rPr>
                <w:b/>
                <w:i w:val="0"/>
                <w:sz w:val="19"/>
              </w:rPr>
              <w:t>not</w:t>
            </w:r>
            <w:r>
              <w:rPr>
                <w:b w:val="0"/>
                <w:i w:val="0"/>
                <w:sz w:val="19"/>
              </w:rPr>
              <w:t xml:space="preserve"> reproduce</w:t>
            </w:r>
          </w:p>
        </w:tc>
        <w:tc>
          <w:tcPr>
            <w:tcW w:type="dxa" w:w="6539"/>
            <w:tcMar>
              <w:top w:w="80" w:type="dxa"/>
              <w:left w:w="80" w:type="dxa"/>
              <w:bottom w:w="80" w:type="dxa"/>
              <w:right w:w="80" w:type="dxa"/>
            </w:tcMar>
          </w:tcPr>
          <w:p>
            <w:pPr>
              <w:spacing w:after="60" w:line="240" w:lineRule="auto"/>
            </w:pPr>
            <w:r>
              <w:rPr>
                <w:b w:val="0"/>
                <w:i w:val="0"/>
                <w:sz w:val="19"/>
              </w:rPr>
              <w:t>Report the instrument and stop. No biological sentence may be written.</w:t>
            </w:r>
          </w:p>
        </w:tc>
      </w:tr>
      <w:tr>
        <w:trPr>
          <w:cantSplit/>
        </w:trPr>
        <w:tc>
          <w:tcPr>
            <w:tcW w:type="dxa" w:w="2156"/>
            <w:tcMar>
              <w:top w:w="80" w:type="dxa"/>
              <w:left w:w="80" w:type="dxa"/>
              <w:bottom w:w="80" w:type="dxa"/>
              <w:right w:w="80" w:type="dxa"/>
            </w:tcMar>
          </w:tcPr>
          <w:p>
            <w:pPr>
              <w:spacing w:after="60" w:line="240" w:lineRule="auto"/>
            </w:pPr>
            <w:r>
              <w:rPr>
                <w:b/>
                <w:i w:val="0"/>
                <w:sz w:val="19"/>
              </w:rPr>
              <w:t>E</w:t>
            </w:r>
          </w:p>
        </w:tc>
        <w:tc>
          <w:tcPr>
            <w:tcW w:type="dxa" w:w="5421"/>
            <w:tcMar>
              <w:top w:w="80" w:type="dxa"/>
              <w:left w:w="80" w:type="dxa"/>
              <w:bottom w:w="80" w:type="dxa"/>
              <w:right w:w="80" w:type="dxa"/>
            </w:tcMar>
          </w:tcPr>
          <w:p>
            <w:pPr>
              <w:spacing w:after="60" w:line="240" w:lineRule="auto"/>
            </w:pPr>
            <w:r>
              <w:rPr>
                <w:b w:val="0"/>
                <w:i/>
                <w:sz w:val="19"/>
              </w:rPr>
              <w:t>ENO3</w:t>
            </w:r>
            <w:r>
              <w:rPr>
                <w:b w:val="0"/>
                <w:i w:val="0"/>
                <w:sz w:val="19"/>
              </w:rPr>
              <w:t xml:space="preserve"> reproduces but </w:t>
            </w:r>
            <w:r>
              <w:rPr>
                <w:b w:val="0"/>
                <w:i/>
                <w:sz w:val="19"/>
              </w:rPr>
              <w:t>PLAGL1</w:t>
            </w:r>
            <w:r>
              <w:rPr>
                <w:b w:val="0"/>
                <w:i w:val="0"/>
                <w:sz w:val="19"/>
              </w:rPr>
              <w:t xml:space="preserve"> reads up</w:t>
            </w:r>
          </w:p>
        </w:tc>
        <w:tc>
          <w:tcPr>
            <w:tcW w:type="dxa" w:w="6539"/>
            <w:tcMar>
              <w:top w:w="80" w:type="dxa"/>
              <w:left w:w="80" w:type="dxa"/>
              <w:bottom w:w="80" w:type="dxa"/>
              <w:right w:w="80" w:type="dxa"/>
            </w:tcMar>
          </w:tcPr>
          <w:p>
            <w:pPr>
              <w:spacing w:after="60" w:line="240" w:lineRule="auto"/>
            </w:pPr>
            <w:r>
              <w:rPr>
                <w:b w:val="0"/>
                <w:i w:val="0"/>
                <w:sz w:val="19"/>
              </w:rPr>
              <w:t>Every up row loses its strongest defence against the offset explanation.</w:t>
            </w:r>
          </w:p>
        </w:tc>
      </w:tr>
      <w:tr>
        <w:trPr>
          <w:cantSplit/>
        </w:trPr>
        <w:tc>
          <w:tcPr>
            <w:tcW w:type="dxa" w:w="2156"/>
            <w:tcMar>
              <w:top w:w="80" w:type="dxa"/>
              <w:left w:w="80" w:type="dxa"/>
              <w:bottom w:w="80" w:type="dxa"/>
              <w:right w:w="80" w:type="dxa"/>
            </w:tcMar>
          </w:tcPr>
          <w:p>
            <w:pPr>
              <w:spacing w:after="60" w:line="240" w:lineRule="auto"/>
            </w:pPr>
            <w:r>
              <w:rPr>
                <w:b/>
                <w:i w:val="0"/>
                <w:sz w:val="19"/>
              </w:rPr>
              <w:t>F</w:t>
            </w:r>
          </w:p>
        </w:tc>
        <w:tc>
          <w:tcPr>
            <w:tcW w:type="dxa" w:w="5421"/>
            <w:tcMar>
              <w:top w:w="80" w:type="dxa"/>
              <w:left w:w="80" w:type="dxa"/>
              <w:bottom w:w="80" w:type="dxa"/>
              <w:right w:w="80" w:type="dxa"/>
            </w:tcMar>
          </w:tcPr>
          <w:p>
            <w:pPr>
              <w:spacing w:after="60" w:line="240" w:lineRule="auto"/>
            </w:pPr>
            <w:r>
              <w:rPr>
                <w:b w:val="0"/>
                <w:i w:val="0"/>
                <w:sz w:val="19"/>
              </w:rPr>
              <w:t>Filion Table 1 clears its null but class A does not</w:t>
            </w:r>
          </w:p>
        </w:tc>
        <w:tc>
          <w:tcPr>
            <w:tcW w:type="dxa" w:w="6539"/>
            <w:tcMar>
              <w:top w:w="80" w:type="dxa"/>
              <w:left w:w="80" w:type="dxa"/>
              <w:bottom w:w="80" w:type="dxa"/>
              <w:right w:w="80" w:type="dxa"/>
            </w:tcMar>
          </w:tcPr>
          <w:p>
            <w:pPr>
              <w:spacing w:after="60" w:line="240" w:lineRule="auto"/>
            </w:pPr>
            <w:r>
              <w:rPr>
                <w:b w:val="0"/>
                <w:i w:val="0"/>
                <w:sz w:val="19"/>
              </w:rPr>
              <w:t>The instrument reads EMC and the fusion-target set is the thing that is flat.</w:t>
            </w:r>
          </w:p>
        </w:tc>
      </w:tr>
    </w:tbl>
    <w:p>
      <w:r>
        <w:rPr>
          <w:b/>
          <w:i w:val="0"/>
        </w:rPr>
        <w:t>Outcome F came true</w:t>
      </w:r>
      <w:r>
        <w:rPr>
          <w:b w:val="0"/>
          <w:i w:val="0"/>
        </w:rPr>
        <w:t xml:space="preserve">, with a per-gene positive inside it that the rule did not anticipate. Two limits of the pre-registration are recorded rather than quietly rewritten. First, the branches were written over </w:t>
      </w:r>
      <w:r>
        <w:rPr>
          <w:b w:val="0"/>
          <w:i/>
        </w:rPr>
        <w:t>set</w:t>
      </w:r>
      <w:r>
        <w:rPr>
          <w:b w:val="0"/>
          <w:i w:val="0"/>
        </w:rPr>
        <w:t xml:space="preserve"> scores and the measurement landed at the </w:t>
      </w:r>
      <w:r>
        <w:rPr>
          <w:b w:val="0"/>
          <w:i/>
        </w:rPr>
        <w:t>gene</w:t>
      </w:r>
      <w:r>
        <w:rPr>
          <w:b w:val="0"/>
          <w:i w:val="0"/>
        </w:rPr>
        <w:t xml:space="preserve"> level, so a future version of this rule needs an explicit gene-level branch. Second, the rule did not anticipate that the per-gene result would itself be split by a later confound audit — </w:t>
      </w:r>
      <w:r>
        <w:rPr>
          <w:b w:val="0"/>
          <w:i/>
        </w:rPr>
        <w:t>ENO3</w:t>
      </w:r>
      <w:r>
        <w:rPr>
          <w:b w:val="0"/>
          <w:i w:val="0"/>
        </w:rPr>
        <w:t xml:space="preserve"> surviving every stratification while </w:t>
      </w:r>
      <w:r>
        <w:rPr>
          <w:b w:val="0"/>
          <w:i/>
        </w:rPr>
        <w:t>SEMA3C</w:t>
      </w:r>
      <w:r>
        <w:rPr>
          <w:b w:val="0"/>
          <w:i w:val="0"/>
        </w:rPr>
        <w:t xml:space="preserve"> reverses sign — so it had no branch for "the genes disagree with each other", which is what happened.</w:t>
      </w:r>
    </w:p>
    <w:p>
      <w:pPr>
        <w:pStyle w:val="Heading1"/>
      </w:pPr>
      <w:r>
        <w:rPr>
          <w:b w:val="0"/>
          <w:i w:val="0"/>
        </w:rPr>
        <w:t>S2 · The complete evidence-typed catalogue</w:t>
      </w:r>
    </w:p>
    <w:p>
      <w:r>
        <w:rPr>
          <w:b w:val="0"/>
          <w:i w:val="0"/>
        </w:rPr>
        <w:t xml:space="preserve">Class assignments are from Supplementary File 2, Table S9. The </w:t>
      </w:r>
      <w:r>
        <w:rPr>
          <w:b/>
          <w:i w:val="0"/>
        </w:rPr>
        <w:t>verbatim sentence</w:t>
      </w:r>
      <w:r>
        <w:rPr>
          <w:b w:val="0"/>
          <w:i w:val="0"/>
        </w:rPr>
        <w:t xml:space="preserve"> each classification rests on is held in the machine-readable catalogue (</w:t>
      </w:r>
      <w:r>
        <w:rPr>
          <w:rFonts w:ascii="Consolas" w:hAnsi="Consolas"/>
          <w:b w:val="0"/>
          <w:i w:val="0"/>
          <w:sz w:val="18"/>
        </w:rPr>
        <w:t>nr4a3_fusion_targets.py</w:t>
      </w:r>
      <w:r>
        <w:rPr>
          <w:b w:val="0"/>
          <w:i w:val="0"/>
        </w:rPr>
        <w:t xml:space="preserve"> → </w:t>
      </w:r>
      <w:r>
        <w:rPr>
          <w:rFonts w:ascii="Consolas" w:hAnsi="Consolas"/>
          <w:b w:val="0"/>
          <w:i w:val="0"/>
          <w:sz w:val="18"/>
        </w:rPr>
        <w:t>LITERATURE_TARGETS</w:t>
      </w:r>
      <w:r>
        <w:rPr>
          <w:b w:val="0"/>
          <w:i w:val="0"/>
        </w:rPr>
        <w:t xml:space="preserve">, emitted to </w:t>
      </w:r>
      <w:r>
        <w:rPr>
          <w:rFonts w:ascii="Consolas" w:hAnsi="Consolas"/>
          <w:b w:val="0"/>
          <w:i w:val="0"/>
          <w:sz w:val="18"/>
        </w:rPr>
        <w:t>nr4a3-fusion-targets.json</w:t>
      </w:r>
      <w:r>
        <w:rPr>
          <w:b w:val="0"/>
          <w:i w:val="0"/>
        </w:rPr>
        <w:t xml:space="preserve"> → </w:t>
      </w:r>
      <w:r>
        <w:rPr>
          <w:rFonts w:ascii="Consolas" w:hAnsi="Consolas"/>
          <w:b w:val="0"/>
          <w:i w:val="0"/>
          <w:sz w:val="18"/>
        </w:rPr>
        <w:t>evidence_table.rows[].verbatim</w:t>
      </w:r>
      <w:r>
        <w:rPr>
          <w:b w:val="0"/>
          <w:i w:val="0"/>
        </w:rPr>
        <w:t>) and is not reproduced here only for length; every row below carries its citation and the assay the classification rests on.</w:t>
      </w:r>
    </w:p>
    <w:p>
      <w:r>
        <w:rPr>
          <w:b w:val="0"/>
          <w:i w:val="0"/>
        </w:rPr>
        <w:t xml:space="preserve">A published negative control accompanies the catalogue: </w:t>
      </w:r>
      <w:r>
        <w:rPr>
          <w:b/>
          <w:i/>
        </w:rPr>
        <w:t>CALD1</w:t>
      </w:r>
      <w:r>
        <w:rPr>
          <w:b w:val="0"/>
          <w:i w:val="0"/>
        </w:rPr>
        <w:t xml:space="preserve">, whose promoter was searched for NOR-1 response elements in the same experiment that found the </w:t>
      </w:r>
      <w:r>
        <w:rPr>
          <w:b w:val="0"/>
          <w:i/>
        </w:rPr>
        <w:t>SMPX</w:t>
      </w:r>
      <w:r>
        <w:rPr>
          <w:b w:val="0"/>
          <w:i w:val="0"/>
        </w:rPr>
        <w:t xml:space="preserve"> site, and none were found (PMID 27181368). It controls the inference "this gene moved, therefore NR4A3 bound it" — not EMC biology.</w:t>
      </w:r>
    </w:p>
    <w:p>
      <w:pPr>
        <w:pStyle w:val="Heading2"/>
      </w:pPr>
      <w:r>
        <w:rPr>
          <w:b w:val="0"/>
          <w:i w:val="0"/>
        </w:rPr>
        <w:t>TABLE S1 — the complete evidence-typed catalogue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964"/>
        <w:gridCol w:w="1020"/>
        <w:gridCol w:w="1701"/>
        <w:gridCol w:w="2154"/>
        <w:gridCol w:w="1814"/>
        <w:gridCol w:w="1077"/>
        <w:gridCol w:w="3288"/>
        <w:gridCol w:w="2098"/>
      </w:tblGrid>
      <w:tr>
        <w:trPr>
          <w:cantSplit/>
          <w:tblHeader/>
        </w:trPr>
        <w:tc>
          <w:tcPr>
            <w:tcW w:type="dxa" w:w="964"/>
            <w:tcMar>
              <w:top w:w="80" w:type="dxa"/>
              <w:left w:w="80" w:type="dxa"/>
              <w:bottom w:w="80" w:type="dxa"/>
              <w:right w:w="80" w:type="dxa"/>
            </w:tcMar>
          </w:tcPr>
          <w:p>
            <w:pPr>
              <w:keepNext/>
              <w:spacing w:after="60" w:line="240" w:lineRule="auto"/>
            </w:pPr>
            <w:r>
              <w:rPr>
                <w:b/>
                <w:i w:val="0"/>
                <w:sz w:val="19"/>
              </w:rPr>
              <w:t>gene</w:t>
            </w:r>
          </w:p>
        </w:tc>
        <w:tc>
          <w:tcPr>
            <w:tcW w:type="dxa" w:w="1020"/>
            <w:tcMar>
              <w:top w:w="80" w:type="dxa"/>
              <w:left w:w="80" w:type="dxa"/>
              <w:bottom w:w="80" w:type="dxa"/>
              <w:right w:w="80" w:type="dxa"/>
            </w:tcMar>
          </w:tcPr>
          <w:p>
            <w:pPr>
              <w:keepNext/>
              <w:spacing w:after="60" w:line="240" w:lineRule="auto"/>
            </w:pPr>
            <w:r>
              <w:rPr>
                <w:b/>
                <w:i w:val="0"/>
                <w:sz w:val="19"/>
              </w:rPr>
              <w:t>class</w:t>
            </w:r>
          </w:p>
        </w:tc>
        <w:tc>
          <w:tcPr>
            <w:tcW w:type="dxa" w:w="1701"/>
            <w:tcMar>
              <w:top w:w="80" w:type="dxa"/>
              <w:left w:w="80" w:type="dxa"/>
              <w:bottom w:w="80" w:type="dxa"/>
              <w:right w:w="80" w:type="dxa"/>
            </w:tcMar>
          </w:tcPr>
          <w:p>
            <w:pPr>
              <w:keepNext/>
              <w:spacing w:after="60" w:line="240" w:lineRule="auto"/>
            </w:pPr>
            <w:r>
              <w:rPr>
                <w:b/>
                <w:i w:val="0"/>
                <w:sz w:val="19"/>
              </w:rPr>
              <w:t>factor actually tested</w:t>
            </w:r>
          </w:p>
        </w:tc>
        <w:tc>
          <w:tcPr>
            <w:tcW w:type="dxa" w:w="2154"/>
            <w:tcMar>
              <w:top w:w="80" w:type="dxa"/>
              <w:left w:w="80" w:type="dxa"/>
              <w:bottom w:w="80" w:type="dxa"/>
              <w:right w:w="80" w:type="dxa"/>
            </w:tcMar>
          </w:tcPr>
          <w:p>
            <w:pPr>
              <w:keepNext/>
              <w:spacing w:after="60" w:line="240" w:lineRule="auto"/>
            </w:pPr>
            <w:r>
              <w:rPr>
                <w:b/>
                <w:i w:val="0"/>
                <w:sz w:val="19"/>
              </w:rPr>
              <w:t>assays</w:t>
            </w:r>
          </w:p>
        </w:tc>
        <w:tc>
          <w:tcPr>
            <w:tcW w:type="dxa" w:w="1814"/>
            <w:tcMar>
              <w:top w:w="80" w:type="dxa"/>
              <w:left w:w="80" w:type="dxa"/>
              <w:bottom w:w="80" w:type="dxa"/>
              <w:right w:w="80" w:type="dxa"/>
            </w:tcMar>
          </w:tcPr>
          <w:p>
            <w:pPr>
              <w:keepNext/>
              <w:spacing w:after="60" w:line="240" w:lineRule="auto"/>
            </w:pPr>
            <w:r>
              <w:rPr>
                <w:b/>
                <w:i w:val="0"/>
                <w:sz w:val="19"/>
              </w:rPr>
              <w:t>cell system</w:t>
            </w:r>
          </w:p>
        </w:tc>
        <w:tc>
          <w:tcPr>
            <w:tcW w:type="dxa" w:w="1077"/>
            <w:tcMar>
              <w:top w:w="80" w:type="dxa"/>
              <w:left w:w="80" w:type="dxa"/>
              <w:bottom w:w="80" w:type="dxa"/>
              <w:right w:w="80" w:type="dxa"/>
            </w:tcMar>
          </w:tcPr>
          <w:p>
            <w:pPr>
              <w:keepNext/>
              <w:spacing w:after="60" w:line="240" w:lineRule="auto"/>
            </w:pPr>
            <w:r>
              <w:rPr>
                <w:b/>
                <w:i w:val="0"/>
                <w:sz w:val="19"/>
              </w:rPr>
              <w:t>species</w:t>
            </w:r>
          </w:p>
        </w:tc>
        <w:tc>
          <w:tcPr>
            <w:tcW w:type="dxa" w:w="3288"/>
            <w:tcMar>
              <w:top w:w="80" w:type="dxa"/>
              <w:left w:w="80" w:type="dxa"/>
              <w:bottom w:w="80" w:type="dxa"/>
              <w:right w:w="80" w:type="dxa"/>
            </w:tcMar>
          </w:tcPr>
          <w:p>
            <w:pPr>
              <w:keepNext/>
              <w:spacing w:after="60" w:line="240" w:lineRule="auto"/>
            </w:pPr>
            <w:r>
              <w:rPr>
                <w:b/>
                <w:i w:val="0"/>
                <w:sz w:val="19"/>
              </w:rPr>
              <w:t>expected in EMC</w:t>
            </w:r>
          </w:p>
        </w:tc>
        <w:tc>
          <w:tcPr>
            <w:tcW w:type="dxa" w:w="2098"/>
            <w:tcMar>
              <w:top w:w="80" w:type="dxa"/>
              <w:left w:w="80" w:type="dxa"/>
              <w:bottom w:w="80" w:type="dxa"/>
              <w:right w:w="80" w:type="dxa"/>
            </w:tcMar>
          </w:tcPr>
          <w:p>
            <w:pPr>
              <w:keepNext/>
              <w:spacing w:after="60" w:line="240" w:lineRule="auto"/>
            </w:pPr>
            <w:r>
              <w:rPr>
                <w:b/>
                <w:i w:val="0"/>
                <w:sz w:val="19"/>
              </w:rPr>
              <w:t>citation</w:t>
            </w:r>
          </w:p>
        </w:tc>
      </w:tr>
      <w:tr>
        <w:trPr>
          <w:cantSplit/>
        </w:trPr>
        <w:tc>
          <w:tcPr>
            <w:tcW w:type="dxa" w:w="964"/>
            <w:tcMar>
              <w:top w:w="80" w:type="dxa"/>
              <w:left w:w="80" w:type="dxa"/>
              <w:bottom w:w="80" w:type="dxa"/>
              <w:right w:w="80" w:type="dxa"/>
            </w:tcMar>
          </w:tcPr>
          <w:p>
            <w:pPr>
              <w:spacing w:after="60" w:line="240" w:lineRule="auto"/>
            </w:pPr>
            <w:r>
              <w:rPr>
                <w:b/>
                <w:i w:val="0"/>
                <w:sz w:val="19"/>
              </w:rPr>
              <w:t>ENO3</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TFG::NR4A3 (TFG-TEC)</w:t>
            </w:r>
          </w:p>
        </w:tc>
        <w:tc>
          <w:tcPr>
            <w:tcW w:type="dxa" w:w="2154"/>
            <w:tcMar>
              <w:top w:w="80" w:type="dxa"/>
              <w:left w:w="80" w:type="dxa"/>
              <w:bottom w:w="80" w:type="dxa"/>
              <w:right w:w="80" w:type="dxa"/>
            </w:tcMar>
          </w:tcPr>
          <w:p>
            <w:pPr>
              <w:spacing w:after="60" w:line="240" w:lineRule="auto"/>
            </w:pPr>
            <w:r>
              <w:rPr>
                <w:b w:val="0"/>
                <w:i w:val="0"/>
                <w:sz w:val="19"/>
              </w:rPr>
              <w:t>EMSA, ChIP (endogenous promoter), luciferase reporter, two NGFI-B response element motifs upstream of the putative TSS, ChIP for histone H3 acetylation at the endogenous promoter</w:t>
            </w:r>
          </w:p>
        </w:tc>
        <w:tc>
          <w:tcPr>
            <w:tcW w:type="dxa" w:w="1814"/>
            <w:tcMar>
              <w:top w:w="80" w:type="dxa"/>
              <w:left w:w="80" w:type="dxa"/>
              <w:bottom w:w="80" w:type="dxa"/>
              <w:right w:w="80" w:type="dxa"/>
            </w:tcMar>
          </w:tcPr>
          <w:p>
            <w:pPr>
              <w:spacing w:after="60" w:line="240" w:lineRule="auto"/>
            </w:pPr>
            <w:r>
              <w:rPr>
                <w:b w:val="0"/>
                <w:i w:val="0"/>
                <w:sz w:val="19"/>
              </w:rPr>
              <w:t>cultured cell lines over-expressing TFG-TEC (the t(3;9) EMC fusion variant)</w:t>
            </w:r>
          </w:p>
        </w:tc>
        <w:tc>
          <w:tcPr>
            <w:tcW w:type="dxa" w:w="1077"/>
            <w:tcMar>
              <w:top w:w="80" w:type="dxa"/>
              <w:left w:w="80" w:type="dxa"/>
              <w:bottom w:w="80" w:type="dxa"/>
              <w:right w:w="80" w:type="dxa"/>
            </w:tcMar>
          </w:tcPr>
          <w:p>
            <w:pPr>
              <w:spacing w:after="60" w:line="240" w:lineRule="auto"/>
            </w:pPr>
            <w:r>
              <w:rPr>
                <w:b w:val="0"/>
                <w:i w:val="0"/>
                <w:sz w:val="19"/>
              </w:rPr>
              <w:t>human (human beta-enolase promoter)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Kim AY, Lim B, Choi J, Kim J. The TFG-TEC oncoprotein induces transcriptional activation of the human beta-enolase gene via chromatin modification of the promoter region. Mol Carcinog 2016. PMID 26310886, doi 10.1002/mc.22384</w:t>
            </w:r>
          </w:p>
        </w:tc>
      </w:tr>
      <w:tr>
        <w:trPr>
          <w:cantSplit/>
        </w:trPr>
        <w:tc>
          <w:tcPr>
            <w:tcW w:type="dxa" w:w="964"/>
            <w:tcMar>
              <w:top w:w="80" w:type="dxa"/>
              <w:left w:w="80" w:type="dxa"/>
              <w:bottom w:w="80" w:type="dxa"/>
              <w:right w:w="80" w:type="dxa"/>
            </w:tcMar>
          </w:tcPr>
          <w:p>
            <w:pPr>
              <w:spacing w:after="60" w:line="240" w:lineRule="auto"/>
            </w:pPr>
            <w:r>
              <w:rPr>
                <w:b/>
                <w:i w:val="0"/>
                <w:sz w:val="19"/>
              </w:rPr>
              <w:t>PPARG</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EWSR1::NR4A3, NR4A3 (native), NR4A3-deltaC (native truncated)</w:t>
            </w:r>
          </w:p>
        </w:tc>
        <w:tc>
          <w:tcPr>
            <w:tcW w:type="dxa" w:w="2154"/>
            <w:tcMar>
              <w:top w:w="80" w:type="dxa"/>
              <w:left w:w="80" w:type="dxa"/>
              <w:bottom w:w="80" w:type="dxa"/>
              <w:right w:w="80" w:type="dxa"/>
            </w:tcMar>
          </w:tcPr>
          <w:p>
            <w:pPr>
              <w:spacing w:after="60" w:line="240" w:lineRule="auto"/>
            </w:pPr>
            <w:r>
              <w:rPr>
                <w:b w:val="0"/>
                <w:i w:val="0"/>
                <w:sz w:val="19"/>
              </w:rPr>
              <w:t>predicted perfect NBRE at -675 bp (5' AAAGGTCA 3'), band-shift (EMSA) with the fusion protein, 2.8 kb human PPARG isoform-1 promoter luciferase reporter, single-nucleotide NBRE mutant of that reporter</w:t>
            </w:r>
          </w:p>
        </w:tc>
        <w:tc>
          <w:tcPr>
            <w:tcW w:type="dxa" w:w="1814"/>
            <w:tcMar>
              <w:top w:w="80" w:type="dxa"/>
              <w:left w:w="80" w:type="dxa"/>
              <w:bottom w:w="80" w:type="dxa"/>
              <w:right w:w="80" w:type="dxa"/>
            </w:tcMar>
          </w:tcPr>
          <w:p>
            <w:pPr>
              <w:spacing w:after="60" w:line="240" w:lineRule="auto"/>
            </w:pPr>
            <w:r>
              <w:rPr>
                <w:b w:val="0"/>
                <w:i w:val="0"/>
                <w:sz w:val="19"/>
              </w:rPr>
              <w:t>CFK2 fetal RAT chondrogenic cells, stable EWSR1/NR4A3 lines (et2, et16, et19) and transient transfection of wild-type CFK2; HUMAN PPARG promoter construct</w:t>
            </w:r>
          </w:p>
        </w:tc>
        <w:tc>
          <w:tcPr>
            <w:tcW w:type="dxa" w:w="1077"/>
            <w:tcMar>
              <w:top w:w="80" w:type="dxa"/>
              <w:left w:w="80" w:type="dxa"/>
              <w:bottom w:w="80" w:type="dxa"/>
              <w:right w:w="80" w:type="dxa"/>
            </w:tcMar>
          </w:tcPr>
          <w:p>
            <w:pPr>
              <w:spacing w:after="60" w:line="240" w:lineRule="auto"/>
            </w:pPr>
            <w:r>
              <w:rPr>
                <w:b w:val="0"/>
                <w:i w:val="0"/>
                <w:sz w:val="19"/>
              </w:rPr>
              <w:t>rat (the promoter construct is 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Filion C, Motoi T, Olshen AB, et al. The EWSR1/NR4A3 fusion protein of extraskeletal myxoid chondrosarcoma activates the PPARG nuclear receptor gene. J Pathol 2009;217(1):83-93. PMID 18855877, PMCID PMC4429309, doi 10.1002/path.2445</w:t>
            </w:r>
          </w:p>
        </w:tc>
      </w:tr>
      <w:tr>
        <w:trPr>
          <w:cantSplit/>
        </w:trPr>
        <w:tc>
          <w:tcPr>
            <w:tcW w:type="dxa" w:w="964"/>
            <w:tcMar>
              <w:top w:w="80" w:type="dxa"/>
              <w:left w:w="80" w:type="dxa"/>
              <w:bottom w:w="80" w:type="dxa"/>
              <w:right w:w="80" w:type="dxa"/>
            </w:tcMar>
          </w:tcPr>
          <w:p>
            <w:pPr>
              <w:spacing w:after="60" w:line="240" w:lineRule="auto"/>
            </w:pPr>
            <w:r>
              <w:rPr>
                <w:b/>
                <w:i w:val="0"/>
                <w:sz w:val="19"/>
              </w:rPr>
              <w:t>SEMA3C</w:t>
            </w:r>
          </w:p>
        </w:tc>
        <w:tc>
          <w:tcPr>
            <w:tcW w:type="dxa" w:w="1020"/>
            <w:tcMar>
              <w:top w:w="80" w:type="dxa"/>
              <w:left w:w="80" w:type="dxa"/>
              <w:bottom w:w="80" w:type="dxa"/>
              <w:right w:w="80" w:type="dxa"/>
            </w:tcMar>
          </w:tcPr>
          <w:p>
            <w:pPr>
              <w:spacing w:after="60" w:line="240" w:lineRule="auto"/>
            </w:pPr>
            <w:r>
              <w:rPr>
                <w:b w:val="0"/>
                <w:i w:val="0"/>
                <w:sz w:val="19"/>
              </w:rPr>
              <w:t>A</w:t>
            </w:r>
          </w:p>
        </w:tc>
        <w:tc>
          <w:tcPr>
            <w:tcW w:type="dxa" w:w="1701"/>
            <w:tcMar>
              <w:top w:w="80" w:type="dxa"/>
              <w:left w:w="80" w:type="dxa"/>
              <w:bottom w:w="80" w:type="dxa"/>
              <w:right w:w="80" w:type="dxa"/>
            </w:tcMar>
          </w:tcPr>
          <w:p>
            <w:pPr>
              <w:spacing w:after="60" w:line="240" w:lineRule="auto"/>
            </w:pPr>
            <w:r>
              <w:rPr>
                <w:b w:val="0"/>
                <w:i w:val="0"/>
                <w:sz w:val="19"/>
              </w:rPr>
              <w:t>EWSR1::NR4A3, TAF15::NR4A3, NR4A3 (native)</w:t>
            </w:r>
          </w:p>
        </w:tc>
        <w:tc>
          <w:tcPr>
            <w:tcW w:type="dxa" w:w="2154"/>
            <w:tcMar>
              <w:top w:w="80" w:type="dxa"/>
              <w:left w:w="80" w:type="dxa"/>
              <w:bottom w:w="80" w:type="dxa"/>
              <w:right w:w="80" w:type="dxa"/>
            </w:tcMar>
          </w:tcPr>
          <w:p>
            <w:pPr>
              <w:spacing w:after="60" w:line="240" w:lineRule="auto"/>
            </w:pPr>
            <w:r>
              <w:rPr>
                <w:b w:val="0"/>
                <w:i w:val="0"/>
                <w:sz w:val="19"/>
              </w:rPr>
              <w:t>in-silico NBRE-like site (MatInspector, GRCh38 chr7), chromatin affinity purification + target qPCR (ChAP-qPCR), Strep-tagged</w:t>
            </w:r>
          </w:p>
        </w:tc>
        <w:tc>
          <w:tcPr>
            <w:tcW w:type="dxa" w:w="1814"/>
            <w:tcMar>
              <w:top w:w="80" w:type="dxa"/>
              <w:left w:w="80" w:type="dxa"/>
              <w:bottom w:w="80" w:type="dxa"/>
              <w:right w:w="80" w:type="dxa"/>
            </w:tcMar>
          </w:tcPr>
          <w:p>
            <w:pPr>
              <w:spacing w:after="60" w:line="240" w:lineRule="auto"/>
            </w:pPr>
            <w:r>
              <w:rPr>
                <w:b w:val="0"/>
                <w:i w:val="0"/>
                <w:sz w:val="19"/>
              </w:rPr>
              <w:t>tBJ/ER transformed HUMAN fibroblasts engineered to express Strep-tagged NR4A3, EWSR1-NR4A3 (E-N) or TAF15-NR4A3 (T-N)</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Brenca M, Stacchiotti S, Fassetta K, et al. NR4A3 fusion proteins trigger an axon guidance switch that marks the difference between EWSR1 and TAF15 translocated extraskeletal myxoid chondrosarcomas. J Pathol 2019;249(1):90-101. PMID 31020999, PMCID PMC6766969, doi 10.1002/path.5284</w:t>
            </w:r>
          </w:p>
        </w:tc>
      </w:tr>
      <w:tr>
        <w:trPr>
          <w:cantSplit/>
        </w:trPr>
        <w:tc>
          <w:tcPr>
            <w:tcW w:type="dxa" w:w="964"/>
            <w:tcMar>
              <w:top w:w="80" w:type="dxa"/>
              <w:left w:w="80" w:type="dxa"/>
              <w:bottom w:w="80" w:type="dxa"/>
              <w:right w:w="80" w:type="dxa"/>
            </w:tcMar>
          </w:tcPr>
          <w:p>
            <w:pPr>
              <w:spacing w:after="60" w:line="240" w:lineRule="auto"/>
            </w:pPr>
            <w:r>
              <w:rPr>
                <w:b/>
                <w:i w:val="0"/>
                <w:sz w:val="19"/>
              </w:rPr>
              <w:t>BIRC3</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NBRE binding site</w:t>
            </w:r>
          </w:p>
        </w:tc>
        <w:tc>
          <w:tcPr>
            <w:tcW w:type="dxa" w:w="1814"/>
            <w:tcMar>
              <w:top w:w="80" w:type="dxa"/>
              <w:left w:w="80" w:type="dxa"/>
              <w:bottom w:w="80" w:type="dxa"/>
              <w:right w:w="80" w:type="dxa"/>
            </w:tcMar>
          </w:tcPr>
          <w:p>
            <w:pPr>
              <w:spacing w:after="60" w:line="240" w:lineRule="auto"/>
            </w:pPr>
            <w:r>
              <w:rPr>
                <w:b w:val="0"/>
                <w:i w:val="0"/>
                <w:sz w:val="19"/>
              </w:rPr>
              <w:t>vascular smooth muscle cells / hypoxic endothelium</w:t>
            </w:r>
          </w:p>
        </w:tc>
        <w:tc>
          <w:tcPr>
            <w:tcW w:type="dxa" w:w="1077"/>
            <w:tcMar>
              <w:top w:w="80" w:type="dxa"/>
              <w:left w:w="80" w:type="dxa"/>
              <w:bottom w:w="80" w:type="dxa"/>
              <w:right w:w="80" w:type="dxa"/>
            </w:tcMar>
          </w:tcPr>
          <w:p>
            <w:pPr>
              <w:spacing w:after="60" w:line="240" w:lineRule="auto"/>
            </w:pPr>
            <w:r>
              <w:rPr>
                <w:b w:val="0"/>
                <w:i w:val="0"/>
                <w:sz w:val="19"/>
              </w:rPr>
              <w:t>human/rodent vascular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PMC6912296 and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CCND1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 at the Cyclin D1 promoter, NBRE site</w:t>
            </w:r>
          </w:p>
        </w:tc>
        <w:tc>
          <w:tcPr>
            <w:tcW w:type="dxa" w:w="1814"/>
            <w:tcMar>
              <w:top w:w="80" w:type="dxa"/>
              <w:left w:w="80" w:type="dxa"/>
              <w:bottom w:w="80" w:type="dxa"/>
              <w:right w:w="80" w:type="dxa"/>
            </w:tcMar>
          </w:tcPr>
          <w:p>
            <w:pPr>
              <w:spacing w:after="60" w:line="240" w:lineRule="auto"/>
            </w:pPr>
            <w:r>
              <w:rPr>
                <w:b w:val="0"/>
                <w:i w:val="0"/>
                <w:sz w:val="19"/>
              </w:rPr>
              <w:t>hepatocytes; vascular smooth muscle cells; guidewire arterial-injury model in NOR-1-deficient mice</w:t>
            </w:r>
          </w:p>
        </w:tc>
        <w:tc>
          <w:tcPr>
            <w:tcW w:type="dxa" w:w="1077"/>
            <w:tcMar>
              <w:top w:w="80" w:type="dxa"/>
              <w:left w:w="80" w:type="dxa"/>
              <w:bottom w:w="80" w:type="dxa"/>
              <w:right w:w="80" w:type="dxa"/>
            </w:tcMar>
          </w:tcPr>
          <w:p>
            <w:pPr>
              <w:spacing w:after="60" w:line="240" w:lineRule="auto"/>
            </w:pPr>
            <w:r>
              <w:rPr>
                <w:b w:val="0"/>
                <w:i w:val="0"/>
                <w:sz w:val="19"/>
              </w:rPr>
              <w:t>mouse / rat vascular and hepatic cells</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Herring JA, Elison WS, Tessem JS. Function of Nr4a Orphan Nuclear Receptors in Proliferation, Apoptosis and Fuel Utilization Across Tissues. Cells 2019;8:1373. PMID 31683815, PMCID PMC6912296; and in Haller F, et al. Nat Commun 2019;10:368. PMID 30664630, PMCID PMC6341107</w:t>
            </w:r>
          </w:p>
        </w:tc>
      </w:tr>
      <w:tr>
        <w:trPr>
          <w:cantSplit/>
        </w:trPr>
        <w:tc>
          <w:tcPr>
            <w:tcW w:type="dxa" w:w="964"/>
            <w:tcMar>
              <w:top w:w="80" w:type="dxa"/>
              <w:left w:w="80" w:type="dxa"/>
              <w:bottom w:w="80" w:type="dxa"/>
              <w:right w:w="80" w:type="dxa"/>
            </w:tcMar>
          </w:tcPr>
          <w:p>
            <w:pPr>
              <w:spacing w:after="60" w:line="240" w:lineRule="auto"/>
            </w:pPr>
            <w:r>
              <w:rPr>
                <w:b/>
                <w:i w:val="0"/>
                <w:sz w:val="19"/>
              </w:rPr>
              <w:t>CDKN2AIP</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 at predicted sites in the CDKN2AIP promoter, luciferase reporter reversed by promoter mutant</w:t>
            </w:r>
          </w:p>
        </w:tc>
        <w:tc>
          <w:tcPr>
            <w:tcW w:type="dxa" w:w="1814"/>
            <w:tcMar>
              <w:top w:w="80" w:type="dxa"/>
              <w:left w:w="80" w:type="dxa"/>
              <w:bottom w:w="80" w:type="dxa"/>
              <w:right w:w="80" w:type="dxa"/>
            </w:tcMar>
          </w:tcPr>
          <w:p>
            <w:pPr>
              <w:spacing w:after="60" w:line="240" w:lineRule="auto"/>
            </w:pPr>
            <w:r>
              <w:rPr>
                <w:b w:val="0"/>
                <w:i w:val="0"/>
                <w:sz w:val="19"/>
              </w:rPr>
              <w:t>MHCC-LM3 human hepatocellular carcinoma cells</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Zhao X, Min X, Wang Z, et al. NR4A3 inhibits the tumor progression of hepatocellular carcinoma by inducing cell cycle G0/G1 phase arrest and upregulation of CDKN2AIP expression. Int J Biol Sci 2024. PMID 39664575, PMCID PMC11628324, doi 10.7150/ijbs.95174</w:t>
            </w:r>
          </w:p>
        </w:tc>
      </w:tr>
      <w:tr>
        <w:trPr>
          <w:cantSplit/>
        </w:trPr>
        <w:tc>
          <w:tcPr>
            <w:tcW w:type="dxa" w:w="964"/>
            <w:tcMar>
              <w:top w:w="80" w:type="dxa"/>
              <w:left w:w="80" w:type="dxa"/>
              <w:bottom w:w="80" w:type="dxa"/>
              <w:right w:w="80" w:type="dxa"/>
            </w:tcMar>
          </w:tcPr>
          <w:p>
            <w:pPr>
              <w:spacing w:after="60" w:line="240" w:lineRule="auto"/>
            </w:pPr>
            <w:r>
              <w:rPr>
                <w:b/>
                <w:i w:val="0"/>
                <w:sz w:val="19"/>
              </w:rPr>
              <w:t>COX5A</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over the promoter, dual-luciferase reporter</w:t>
            </w:r>
          </w:p>
        </w:tc>
        <w:tc>
          <w:tcPr>
            <w:tcW w:type="dxa" w:w="1814"/>
            <w:tcMar>
              <w:top w:w="80" w:type="dxa"/>
              <w:left w:w="80" w:type="dxa"/>
              <w:bottom w:w="80" w:type="dxa"/>
              <w:right w:w="80" w:type="dxa"/>
            </w:tcMar>
          </w:tcPr>
          <w:p>
            <w:pPr>
              <w:spacing w:after="60" w:line="240" w:lineRule="auto"/>
            </w:pPr>
            <w:r>
              <w:rPr>
                <w:b w:val="0"/>
                <w:i w:val="0"/>
                <w:sz w:val="19"/>
              </w:rPr>
              <w:t>neonatal mouse cardiomyocytes; HEK293T reporter</w:t>
            </w:r>
          </w:p>
        </w:tc>
        <w:tc>
          <w:tcPr>
            <w:tcW w:type="dxa" w:w="1077"/>
            <w:tcMar>
              <w:top w:w="80" w:type="dxa"/>
              <w:left w:w="80" w:type="dxa"/>
              <w:bottom w:w="80" w:type="dxa"/>
              <w:right w:w="80" w:type="dxa"/>
            </w:tcMar>
          </w:tcPr>
          <w:p>
            <w:pPr>
              <w:spacing w:after="60" w:line="240" w:lineRule="auto"/>
            </w:pPr>
            <w:r>
              <w:rPr>
                <w:b w:val="0"/>
                <w:i w:val="0"/>
                <w:sz w:val="19"/>
              </w:rPr>
              <w:t>mouse; human reporter construct</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et al. eBioMedicine 2024;106:105268. PMID 39098108, PMCID PMC11334830</w:t>
            </w:r>
          </w:p>
        </w:tc>
      </w:tr>
      <w:tr>
        <w:trPr>
          <w:cantSplit/>
        </w:trPr>
        <w:tc>
          <w:tcPr>
            <w:tcW w:type="dxa" w:w="964"/>
            <w:tcMar>
              <w:top w:w="80" w:type="dxa"/>
              <w:left w:w="80" w:type="dxa"/>
              <w:bottom w:w="80" w:type="dxa"/>
              <w:right w:w="80" w:type="dxa"/>
            </w:tcMar>
          </w:tcPr>
          <w:p>
            <w:pPr>
              <w:spacing w:after="60" w:line="240" w:lineRule="auto"/>
            </w:pPr>
            <w:r>
              <w:rPr>
                <w:b/>
                <w:i w:val="0"/>
                <w:sz w:val="19"/>
              </w:rPr>
              <w:t>GLS2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ChIP-seq + mRNA-seq, dual-luciferase reporter, abolished by mutation of the predicted NR4A3 motif</w:t>
            </w:r>
          </w:p>
        </w:tc>
        <w:tc>
          <w:tcPr>
            <w:tcW w:type="dxa" w:w="1814"/>
            <w:tcMar>
              <w:top w:w="80" w:type="dxa"/>
              <w:left w:w="80" w:type="dxa"/>
              <w:bottom w:w="80" w:type="dxa"/>
              <w:right w:w="80" w:type="dxa"/>
            </w:tcMar>
          </w:tcPr>
          <w:p>
            <w:pPr>
              <w:spacing w:after="60" w:line="240" w:lineRule="auto"/>
            </w:pPr>
            <w:r>
              <w:rPr>
                <w:b w:val="0"/>
                <w:i w:val="0"/>
                <w:sz w:val="19"/>
              </w:rPr>
              <w:t>Schwann cells (diabetic peripheral neuropathy model)</w:t>
            </w:r>
          </w:p>
        </w:tc>
        <w:tc>
          <w:tcPr>
            <w:tcW w:type="dxa" w:w="1077"/>
            <w:tcMar>
              <w:top w:w="80" w:type="dxa"/>
              <w:left w:w="80" w:type="dxa"/>
              <w:bottom w:w="80" w:type="dxa"/>
              <w:right w:w="80" w:type="dxa"/>
            </w:tcMar>
          </w:tcPr>
          <w:p>
            <w:pPr>
              <w:spacing w:after="60" w:line="240" w:lineRule="auto"/>
            </w:pPr>
            <w:r>
              <w:rPr>
                <w:b w:val="0"/>
                <w:i w:val="0"/>
                <w:sz w:val="19"/>
              </w:rPr>
              <w:t>rat/mouse Schwann cells</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Pang B, Chen S, Bai Y, Zhang Y, Wang Z. NR4A3 alleviates diabetic neuropathy via GLS2-mediated mitochondrial repair and Schwann cell differentiation. iScience 2026. PMID 42028030, PMCID PMC13099357, doi 10.1016/j.isci.2026.115515</w:t>
            </w:r>
          </w:p>
        </w:tc>
      </w:tr>
      <w:tr>
        <w:trPr>
          <w:cantSplit/>
        </w:trPr>
        <w:tc>
          <w:tcPr>
            <w:tcW w:type="dxa" w:w="964"/>
            <w:tcMar>
              <w:top w:w="80" w:type="dxa"/>
              <w:left w:w="80" w:type="dxa"/>
              <w:bottom w:w="80" w:type="dxa"/>
              <w:right w:w="80" w:type="dxa"/>
            </w:tcMar>
          </w:tcPr>
          <w:p>
            <w:pPr>
              <w:spacing w:after="60" w:line="240" w:lineRule="auto"/>
            </w:pPr>
            <w:r>
              <w:rPr>
                <w:b/>
                <w:i w:val="0"/>
                <w:sz w:val="19"/>
              </w:rPr>
              <w:t>ICAM1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binding to the NBRE consensus site</w:t>
            </w:r>
          </w:p>
        </w:tc>
        <w:tc>
          <w:tcPr>
            <w:tcW w:type="dxa" w:w="1814"/>
            <w:tcMar>
              <w:top w:w="80" w:type="dxa"/>
              <w:left w:w="80" w:type="dxa"/>
              <w:bottom w:w="80" w:type="dxa"/>
              <w:right w:w="80" w:type="dxa"/>
            </w:tcMar>
          </w:tcPr>
          <w:p>
            <w:pPr>
              <w:spacing w:after="60" w:line="240" w:lineRule="auto"/>
            </w:pPr>
            <w:r>
              <w:rPr>
                <w:b w:val="0"/>
                <w:i w:val="0"/>
                <w:sz w:val="19"/>
              </w:rPr>
              <w:t>TNF-stimulated endothelial cells / monocyte adhesion</w:t>
            </w:r>
          </w:p>
        </w:tc>
        <w:tc>
          <w:tcPr>
            <w:tcW w:type="dxa" w:w="1077"/>
            <w:tcMar>
              <w:top w:w="80" w:type="dxa"/>
              <w:left w:w="80" w:type="dxa"/>
              <w:bottom w:w="80" w:type="dxa"/>
              <w:right w:w="80" w:type="dxa"/>
            </w:tcMar>
          </w:tcPr>
          <w:p>
            <w:pPr>
              <w:spacing w:after="60" w:line="240" w:lineRule="auto"/>
            </w:pPr>
            <w:r>
              <w:rPr>
                <w:b w:val="0"/>
                <w:i w:val="0"/>
                <w:sz w:val="19"/>
              </w:rPr>
              <w:t>human endothelial</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PMC8583700 / PMC10088923 / PMC9100886</w:t>
            </w:r>
          </w:p>
        </w:tc>
      </w:tr>
      <w:tr>
        <w:trPr>
          <w:cantSplit/>
        </w:trPr>
        <w:tc>
          <w:tcPr>
            <w:tcW w:type="dxa" w:w="964"/>
            <w:tcMar>
              <w:top w:w="80" w:type="dxa"/>
              <w:left w:w="80" w:type="dxa"/>
              <w:bottom w:w="80" w:type="dxa"/>
              <w:right w:w="80" w:type="dxa"/>
            </w:tcMar>
          </w:tcPr>
          <w:p>
            <w:pPr>
              <w:spacing w:after="60" w:line="240" w:lineRule="auto"/>
            </w:pPr>
            <w:r>
              <w:rPr>
                <w:b/>
                <w:i w:val="0"/>
                <w:sz w:val="19"/>
              </w:rPr>
              <w:t>LOXL2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named a direct NOR-1 target gene in the source review</w:t>
            </w:r>
          </w:p>
        </w:tc>
        <w:tc>
          <w:tcPr>
            <w:tcW w:type="dxa" w:w="1814"/>
            <w:tcMar>
              <w:top w:w="80" w:type="dxa"/>
              <w:left w:w="80" w:type="dxa"/>
              <w:bottom w:w="80" w:type="dxa"/>
              <w:right w:w="80" w:type="dxa"/>
            </w:tcMar>
          </w:tcPr>
          <w:p>
            <w:pPr>
              <w:spacing w:after="60" w:line="240" w:lineRule="auto"/>
            </w:pPr>
            <w:r>
              <w:rPr>
                <w:b w:val="0"/>
                <w:i w:val="0"/>
                <w:sz w:val="19"/>
              </w:rPr>
              <w:t>cardiac fibroblast-to-myofibroblast switch, NOR-1 transgenic mice</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MYH7</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named a direct NOR-1 target gene in the source review</w:t>
            </w:r>
          </w:p>
        </w:tc>
        <w:tc>
          <w:tcPr>
            <w:tcW w:type="dxa" w:w="1814"/>
            <w:tcMar>
              <w:top w:w="80" w:type="dxa"/>
              <w:left w:w="80" w:type="dxa"/>
              <w:bottom w:w="80" w:type="dxa"/>
              <w:right w:w="80" w:type="dxa"/>
            </w:tcMar>
          </w:tcPr>
          <w:p>
            <w:pPr>
              <w:spacing w:after="60" w:line="240" w:lineRule="auto"/>
            </w:pPr>
            <w:r>
              <w:rPr>
                <w:b w:val="0"/>
                <w:i w:val="0"/>
                <w:sz w:val="19"/>
              </w:rPr>
              <w:t>cardiac hypertrophy, NOR-1 transgenic mice</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NOX1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gene silencing, luciferase reporter, site-directed mutagenesis, EMSA</w:t>
            </w:r>
          </w:p>
        </w:tc>
        <w:tc>
          <w:tcPr>
            <w:tcW w:type="dxa" w:w="1814"/>
            <w:tcMar>
              <w:top w:w="80" w:type="dxa"/>
              <w:left w:w="80" w:type="dxa"/>
              <w:bottom w:w="80" w:type="dxa"/>
              <w:right w:w="80" w:type="dxa"/>
            </w:tcMar>
          </w:tcPr>
          <w:p>
            <w:pPr>
              <w:spacing w:after="60" w:line="240" w:lineRule="auto"/>
            </w:pPr>
            <w:r>
              <w:rPr>
                <w:b w:val="0"/>
                <w:i w:val="0"/>
                <w:sz w:val="19"/>
              </w:rPr>
              <w:t>vascular smooth muscle cells; co-localisation in human atheroma</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PDP1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over the promoter</w:t>
            </w:r>
          </w:p>
        </w:tc>
        <w:tc>
          <w:tcPr>
            <w:tcW w:type="dxa" w:w="1814"/>
            <w:tcMar>
              <w:top w:w="80" w:type="dxa"/>
              <w:left w:w="80" w:type="dxa"/>
              <w:bottom w:w="80" w:type="dxa"/>
              <w:right w:w="80" w:type="dxa"/>
            </w:tcMar>
          </w:tcPr>
          <w:p>
            <w:pPr>
              <w:spacing w:after="60" w:line="240" w:lineRule="auto"/>
            </w:pPr>
            <w:r>
              <w:rPr>
                <w:b w:val="0"/>
                <w:i w:val="0"/>
                <w:sz w:val="19"/>
              </w:rPr>
              <w:t>neonatal mouse cardiomyocytes</w:t>
            </w:r>
          </w:p>
        </w:tc>
        <w:tc>
          <w:tcPr>
            <w:tcW w:type="dxa" w:w="1077"/>
            <w:tcMar>
              <w:top w:w="80" w:type="dxa"/>
              <w:left w:w="80" w:type="dxa"/>
              <w:bottom w:w="80" w:type="dxa"/>
              <w:right w:w="80" w:type="dxa"/>
            </w:tcMar>
          </w:tcPr>
          <w:p>
            <w:pPr>
              <w:spacing w:after="60" w:line="240" w:lineRule="auto"/>
            </w:pPr>
            <w:r>
              <w:rPr>
                <w:b w:val="0"/>
                <w:i w:val="0"/>
                <w:sz w:val="19"/>
              </w:rPr>
              <w:t>mouse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et al. eBioMedicine 2024;106:105268. PMID 39098108, PMCID PMC11334830</w:t>
            </w:r>
          </w:p>
        </w:tc>
      </w:tr>
      <w:tr>
        <w:trPr>
          <w:cantSplit/>
        </w:trPr>
        <w:tc>
          <w:tcPr>
            <w:tcW w:type="dxa" w:w="964"/>
            <w:tcMar>
              <w:top w:w="80" w:type="dxa"/>
              <w:left w:w="80" w:type="dxa"/>
              <w:bottom w:w="80" w:type="dxa"/>
              <w:right w:w="80" w:type="dxa"/>
            </w:tcMar>
          </w:tcPr>
          <w:p>
            <w:pPr>
              <w:spacing w:after="60" w:line="240" w:lineRule="auto"/>
            </w:pPr>
            <w:r>
              <w:rPr>
                <w:b/>
                <w:i w:val="0"/>
                <w:sz w:val="19"/>
              </w:rPr>
              <w:t>SDHA</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Cut&amp;Tag, truncated-promoter dual-luciferase mapping to region R3 (predicted element AAAGTCAC)</w:t>
            </w:r>
          </w:p>
        </w:tc>
        <w:tc>
          <w:tcPr>
            <w:tcW w:type="dxa" w:w="1814"/>
            <w:tcMar>
              <w:top w:w="80" w:type="dxa"/>
              <w:left w:w="80" w:type="dxa"/>
              <w:bottom w:w="80" w:type="dxa"/>
              <w:right w:w="80" w:type="dxa"/>
            </w:tcMar>
          </w:tcPr>
          <w:p>
            <w:pPr>
              <w:spacing w:after="60" w:line="240" w:lineRule="auto"/>
            </w:pPr>
            <w:r>
              <w:rPr>
                <w:b w:val="0"/>
                <w:i w:val="0"/>
                <w:sz w:val="19"/>
              </w:rPr>
              <w:t>neonatal mouse cardiomyocytes; HEK293T for the HUMAN SDHA promoter reporter</w:t>
            </w:r>
          </w:p>
        </w:tc>
        <w:tc>
          <w:tcPr>
            <w:tcW w:type="dxa" w:w="1077"/>
            <w:tcMar>
              <w:top w:w="80" w:type="dxa"/>
              <w:left w:w="80" w:type="dxa"/>
              <w:bottom w:w="80" w:type="dxa"/>
              <w:right w:w="80" w:type="dxa"/>
            </w:tcMar>
          </w:tcPr>
          <w:p>
            <w:pPr>
              <w:spacing w:after="60" w:line="240" w:lineRule="auto"/>
            </w:pPr>
            <w:r>
              <w:rPr>
                <w:b w:val="0"/>
                <w:i w:val="0"/>
                <w:sz w:val="19"/>
              </w:rPr>
              <w:t>mouse cardiomyocytes; human HEK293T for the reporter</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Peng H, Yuan J, Wang Z, et al. NR4A3 prevents diabetes induced atrial cardiomyopathy by maintaining mitochondrial energy metabolism and reducing oxidative stress. eBioMedicine 2024;106:105268. PMID 39098108, PMCID PMC11334830, doi 10.1016/j.ebiom.2024.105268</w:t>
            </w:r>
          </w:p>
        </w:tc>
      </w:tr>
      <w:tr>
        <w:trPr>
          <w:cantSplit/>
        </w:trPr>
        <w:tc>
          <w:tcPr>
            <w:tcW w:type="dxa" w:w="964"/>
            <w:tcMar>
              <w:top w:w="80" w:type="dxa"/>
              <w:left w:w="80" w:type="dxa"/>
              <w:bottom w:w="80" w:type="dxa"/>
              <w:right w:w="80" w:type="dxa"/>
            </w:tcMar>
          </w:tcPr>
          <w:p>
            <w:pPr>
              <w:spacing w:after="60" w:line="240" w:lineRule="auto"/>
            </w:pPr>
            <w:r>
              <w:rPr>
                <w:b/>
                <w:i w:val="0"/>
                <w:sz w:val="19"/>
              </w:rPr>
              <w:t>SKP2</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EMSA, ChIP, NBRE site in the SKP2 promoter</w:t>
            </w:r>
          </w:p>
        </w:tc>
        <w:tc>
          <w:tcPr>
            <w:tcW w:type="dxa" w:w="1814"/>
            <w:tcMar>
              <w:top w:w="80" w:type="dxa"/>
              <w:left w:w="80" w:type="dxa"/>
              <w:bottom w:w="80" w:type="dxa"/>
              <w:right w:w="80" w:type="dxa"/>
            </w:tcMar>
          </w:tcPr>
          <w:p>
            <w:pPr>
              <w:spacing w:after="60" w:line="240" w:lineRule="auto"/>
            </w:pPr>
            <w:r>
              <w:rPr>
                <w:b w:val="0"/>
                <w:i w:val="0"/>
                <w:sz w:val="19"/>
              </w:rPr>
              <w:t>vascular smooth muscle cells</w:t>
            </w:r>
          </w:p>
        </w:tc>
        <w:tc>
          <w:tcPr>
            <w:tcW w:type="dxa" w:w="1077"/>
            <w:tcMar>
              <w:top w:w="80" w:type="dxa"/>
              <w:left w:w="80" w:type="dxa"/>
              <w:bottom w:w="80" w:type="dxa"/>
              <w:right w:w="80" w:type="dxa"/>
            </w:tcMar>
          </w:tcPr>
          <w:p>
            <w:pPr>
              <w:spacing w:after="60" w:line="240" w:lineRule="auto"/>
            </w:pPr>
            <w:r>
              <w:rPr>
                <w:b w:val="0"/>
                <w:i w:val="0"/>
                <w:sz w:val="19"/>
              </w:rPr>
              <w:t>human/rodent VSMC (the review does not disambiguate)</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NR4A3: A Key Nuclear Receptor in Vascular Biology, Cardiovascular Remodeling, and Beyond. Int J Mol Sci 2021;22:11371. PMID 34768801,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SMPX</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promoter deletion, site-directed mutagenesis of a non-consensus NBRE (-167/-160), EMSA, ChIP in differentiating human skeletal myoblasts</w:t>
            </w:r>
          </w:p>
        </w:tc>
        <w:tc>
          <w:tcPr>
            <w:tcW w:type="dxa" w:w="1814"/>
            <w:tcMar>
              <w:top w:w="80" w:type="dxa"/>
              <w:left w:w="80" w:type="dxa"/>
              <w:bottom w:w="80" w:type="dxa"/>
              <w:right w:w="80" w:type="dxa"/>
            </w:tcMar>
          </w:tcPr>
          <w:p>
            <w:pPr>
              <w:spacing w:after="60" w:line="240" w:lineRule="auto"/>
            </w:pPr>
            <w:r>
              <w:rPr>
                <w:b w:val="0"/>
                <w:i w:val="0"/>
                <w:sz w:val="19"/>
              </w:rPr>
              <w:t>human vascular smooth muscle cells and HSMM myoblasts</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Ferran B, Marti-Pamies I, Alonso J, et al. The nuclear receptor NOR-1 regulates the small muscle protein, X-linked (SMPX) and myotube differentiation. Sci Rep 2016;6:25944. PMID 27181368, PMCID PMC4867575</w:t>
            </w:r>
          </w:p>
        </w:tc>
      </w:tr>
      <w:tr>
        <w:trPr>
          <w:cantSplit/>
        </w:trPr>
        <w:tc>
          <w:tcPr>
            <w:tcW w:type="dxa" w:w="964"/>
            <w:tcMar>
              <w:top w:w="80" w:type="dxa"/>
              <w:left w:w="80" w:type="dxa"/>
              <w:bottom w:w="80" w:type="dxa"/>
              <w:right w:w="80" w:type="dxa"/>
            </w:tcMar>
          </w:tcPr>
          <w:p>
            <w:pPr>
              <w:spacing w:after="60" w:line="240" w:lineRule="auto"/>
            </w:pPr>
            <w:r>
              <w:rPr>
                <w:b/>
                <w:i w:val="0"/>
                <w:sz w:val="19"/>
              </w:rPr>
              <w:t>TH</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transient transfection through an NBRE site in the TH promoter</w:t>
            </w:r>
          </w:p>
        </w:tc>
        <w:tc>
          <w:tcPr>
            <w:tcW w:type="dxa" w:w="1814"/>
            <w:tcMar>
              <w:top w:w="80" w:type="dxa"/>
              <w:left w:w="80" w:type="dxa"/>
              <w:bottom w:w="80" w:type="dxa"/>
              <w:right w:w="80" w:type="dxa"/>
            </w:tcMar>
          </w:tcPr>
          <w:p>
            <w:pPr>
              <w:spacing w:after="60" w:line="240" w:lineRule="auto"/>
            </w:pPr>
            <w:r>
              <w:rPr>
                <w:b w:val="0"/>
                <w:i w:val="0"/>
                <w:sz w:val="19"/>
              </w:rPr>
              <w:t>vascular smooth muscle cells; NOR-1 transgenic mouse aorta</w:t>
            </w:r>
          </w:p>
        </w:tc>
        <w:tc>
          <w:tcPr>
            <w:tcW w:type="dxa" w:w="1077"/>
            <w:tcMar>
              <w:top w:w="80" w:type="dxa"/>
              <w:left w:w="80" w:type="dxa"/>
              <w:bottom w:w="80" w:type="dxa"/>
              <w:right w:w="80" w:type="dxa"/>
            </w:tcMar>
          </w:tcPr>
          <w:p>
            <w:pPr>
              <w:spacing w:after="60" w:line="240" w:lineRule="auto"/>
            </w:pPr>
            <w:r>
              <w:rPr>
                <w:b w:val="0"/>
                <w:i w:val="0"/>
                <w:sz w:val="19"/>
              </w:rPr>
              <w:t>mouse / VSMC</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w:t>
            </w:r>
          </w:p>
        </w:tc>
      </w:tr>
      <w:tr>
        <w:trPr>
          <w:cantSplit/>
        </w:trPr>
        <w:tc>
          <w:tcPr>
            <w:tcW w:type="dxa" w:w="964"/>
            <w:tcMar>
              <w:top w:w="80" w:type="dxa"/>
              <w:left w:w="80" w:type="dxa"/>
              <w:bottom w:w="80" w:type="dxa"/>
              <w:right w:w="80" w:type="dxa"/>
            </w:tcMar>
          </w:tcPr>
          <w:p>
            <w:pPr>
              <w:spacing w:after="60" w:line="240" w:lineRule="auto"/>
            </w:pPr>
            <w:r>
              <w:rPr>
                <w:b/>
                <w:i w:val="0"/>
                <w:sz w:val="19"/>
              </w:rPr>
              <w:t>VCAM1</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binding to the NBRE consensus site</w:t>
            </w:r>
          </w:p>
        </w:tc>
        <w:tc>
          <w:tcPr>
            <w:tcW w:type="dxa" w:w="1814"/>
            <w:tcMar>
              <w:top w:w="80" w:type="dxa"/>
              <w:left w:w="80" w:type="dxa"/>
              <w:bottom w:w="80" w:type="dxa"/>
              <w:right w:w="80" w:type="dxa"/>
            </w:tcMar>
          </w:tcPr>
          <w:p>
            <w:pPr>
              <w:spacing w:after="60" w:line="240" w:lineRule="auto"/>
            </w:pPr>
            <w:r>
              <w:rPr>
                <w:b w:val="0"/>
                <w:i w:val="0"/>
                <w:sz w:val="19"/>
              </w:rPr>
              <w:t>TNF-stimulated endothelial cells / monocyte adhesion</w:t>
            </w:r>
          </w:p>
        </w:tc>
        <w:tc>
          <w:tcPr>
            <w:tcW w:type="dxa" w:w="1077"/>
            <w:tcMar>
              <w:top w:w="80" w:type="dxa"/>
              <w:left w:w="80" w:type="dxa"/>
              <w:bottom w:w="80" w:type="dxa"/>
              <w:right w:w="80" w:type="dxa"/>
            </w:tcMar>
          </w:tcPr>
          <w:p>
            <w:pPr>
              <w:spacing w:after="60" w:line="240" w:lineRule="auto"/>
            </w:pPr>
            <w:r>
              <w:rPr>
                <w:b w:val="0"/>
                <w:i w:val="0"/>
                <w:sz w:val="19"/>
              </w:rPr>
              <w:t>human endothelial</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Reviewed in Martinez-Gonzalez J, et al. Int J Mol Sci 2021;22:11371, PMCID PMC8583700; and PMCID PMC10088923</w:t>
            </w:r>
          </w:p>
        </w:tc>
      </w:tr>
      <w:tr>
        <w:trPr>
          <w:cantSplit/>
        </w:trPr>
        <w:tc>
          <w:tcPr>
            <w:tcW w:type="dxa" w:w="964"/>
            <w:tcMar>
              <w:top w:w="80" w:type="dxa"/>
              <w:left w:w="80" w:type="dxa"/>
              <w:bottom w:w="80" w:type="dxa"/>
              <w:right w:w="80" w:type="dxa"/>
            </w:tcMar>
          </w:tcPr>
          <w:p>
            <w:pPr>
              <w:spacing w:after="60" w:line="240" w:lineRule="auto"/>
            </w:pPr>
            <w:r>
              <w:rPr>
                <w:b/>
                <w:i w:val="0"/>
                <w:sz w:val="19"/>
              </w:rPr>
              <w:t>VTN</w:t>
            </w:r>
          </w:p>
        </w:tc>
        <w:tc>
          <w:tcPr>
            <w:tcW w:type="dxa" w:w="1020"/>
            <w:tcMar>
              <w:top w:w="80" w:type="dxa"/>
              <w:left w:w="80" w:type="dxa"/>
              <w:bottom w:w="80" w:type="dxa"/>
              <w:right w:w="80" w:type="dxa"/>
            </w:tcMar>
          </w:tcPr>
          <w:p>
            <w:pPr>
              <w:spacing w:after="60" w:line="240" w:lineRule="auto"/>
            </w:pPr>
            <w:r>
              <w:rPr>
                <w:b w:val="0"/>
                <w:i w:val="0"/>
                <w:sz w:val="19"/>
              </w:rPr>
              <w:t>B</w:t>
            </w:r>
          </w:p>
        </w:tc>
        <w:tc>
          <w:tcPr>
            <w:tcW w:type="dxa" w:w="1701"/>
            <w:tcMar>
              <w:top w:w="80" w:type="dxa"/>
              <w:left w:w="80" w:type="dxa"/>
              <w:bottom w:w="80" w:type="dxa"/>
              <w:right w:w="80" w:type="dxa"/>
            </w:tcMar>
          </w:tcPr>
          <w:p>
            <w:pPr>
              <w:spacing w:after="60" w:line="240" w:lineRule="auto"/>
            </w:pPr>
            <w:r>
              <w:rPr>
                <w:b w:val="0"/>
                <w:i w:val="0"/>
                <w:sz w:val="19"/>
              </w:rPr>
              <w:t>NR4A3 (native)</w:t>
            </w:r>
          </w:p>
        </w:tc>
        <w:tc>
          <w:tcPr>
            <w:tcW w:type="dxa" w:w="2154"/>
            <w:tcMar>
              <w:top w:w="80" w:type="dxa"/>
              <w:left w:w="80" w:type="dxa"/>
              <w:bottom w:w="80" w:type="dxa"/>
              <w:right w:w="80" w:type="dxa"/>
            </w:tcMar>
          </w:tcPr>
          <w:p>
            <w:pPr>
              <w:spacing w:after="60" w:line="240" w:lineRule="auto"/>
            </w:pPr>
            <w:r>
              <w:rPr>
                <w:b w:val="0"/>
                <w:i w:val="0"/>
                <w:sz w:val="19"/>
              </w:rPr>
              <w:t>listed by an independent review as a functionally validated direct target, over-expression + blocking-antibody / silencing rescue of migration, co-localisation in human atherosclerotic lesions</w:t>
            </w:r>
          </w:p>
        </w:tc>
        <w:tc>
          <w:tcPr>
            <w:tcW w:type="dxa" w:w="1814"/>
            <w:tcMar>
              <w:top w:w="80" w:type="dxa"/>
              <w:left w:w="80" w:type="dxa"/>
              <w:bottom w:w="80" w:type="dxa"/>
              <w:right w:w="80" w:type="dxa"/>
            </w:tcMar>
          </w:tcPr>
          <w:p>
            <w:pPr>
              <w:spacing w:after="60" w:line="240" w:lineRule="auto"/>
            </w:pPr>
            <w:r>
              <w:rPr>
                <w:b w:val="0"/>
                <w:i w:val="0"/>
                <w:sz w:val="19"/>
              </w:rPr>
              <w:t>vascular smooth muscle cells; independently raised &gt;2-fold by NR4A3 over-expression in the human MHCC-LM3 hepatocellular line</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Haller F, et al. Nat Commun 2019;10:368. PMID 30664630, PMCID PMC6341107 (target list); Martinez-Gonzalez J, et al. Int J Mol Sci 2021;22:11371, PMCID PMC8583700 (VSMC); Zhao X, et al. Int J Biol Sci 2024, PMCID PMC11628324 (MHCC-LM3)</w:t>
            </w:r>
          </w:p>
        </w:tc>
      </w:tr>
      <w:tr>
        <w:trPr>
          <w:cantSplit/>
        </w:trPr>
        <w:tc>
          <w:tcPr>
            <w:tcW w:type="dxa" w:w="964"/>
            <w:tcMar>
              <w:top w:w="80" w:type="dxa"/>
              <w:left w:w="80" w:type="dxa"/>
              <w:bottom w:w="80" w:type="dxa"/>
              <w:right w:w="80" w:type="dxa"/>
            </w:tcMar>
          </w:tcPr>
          <w:p>
            <w:pPr>
              <w:spacing w:after="60" w:line="240" w:lineRule="auto"/>
            </w:pPr>
            <w:r>
              <w:rPr>
                <w:b/>
                <w:i w:val="0"/>
                <w:sz w:val="19"/>
              </w:rPr>
              <w:t>PLAGL1</w:t>
            </w:r>
          </w:p>
        </w:tc>
        <w:tc>
          <w:tcPr>
            <w:tcW w:type="dxa" w:w="1020"/>
            <w:tcMar>
              <w:top w:w="80" w:type="dxa"/>
              <w:left w:w="80" w:type="dxa"/>
              <w:bottom w:w="80" w:type="dxa"/>
              <w:right w:w="80" w:type="dxa"/>
            </w:tcMar>
          </w:tcPr>
          <w:p>
            <w:pPr>
              <w:spacing w:after="60" w:line="240" w:lineRule="auto"/>
            </w:pPr>
            <w:r>
              <w:rPr>
                <w:b w:val="0"/>
                <w:i w:val="0"/>
                <w:sz w:val="19"/>
              </w:rPr>
              <w:t>C</w:t>
            </w:r>
          </w:p>
        </w:tc>
        <w:tc>
          <w:tcPr>
            <w:tcW w:type="dxa" w:w="1701"/>
            <w:tcMar>
              <w:top w:w="80" w:type="dxa"/>
              <w:left w:w="80" w:type="dxa"/>
              <w:bottom w:w="80" w:type="dxa"/>
              <w:right w:w="80" w:type="dxa"/>
            </w:tcMar>
          </w:tcPr>
          <w:p>
            <w:pPr>
              <w:spacing w:after="60" w:line="240" w:lineRule="auto"/>
            </w:pPr>
            <w:r>
              <w:rPr>
                <w:b w:val="0"/>
                <w:i w:val="0"/>
                <w:sz w:val="19"/>
              </w:rPr>
              <w:t>EWSR1::NR4A3</w:t>
            </w:r>
          </w:p>
        </w:tc>
        <w:tc>
          <w:tcPr>
            <w:tcW w:type="dxa" w:w="2154"/>
            <w:tcMar>
              <w:top w:w="80" w:type="dxa"/>
              <w:left w:w="80" w:type="dxa"/>
              <w:bottom w:w="80" w:type="dxa"/>
              <w:right w:w="80" w:type="dxa"/>
            </w:tcMar>
          </w:tcPr>
          <w:p>
            <w:pPr>
              <w:spacing w:after="60" w:line="240" w:lineRule="auto"/>
            </w:pPr>
            <w:r>
              <w:rPr>
                <w:b w:val="0"/>
                <w:i w:val="0"/>
                <w:sz w:val="19"/>
              </w:rPr>
              <w:t>differential display in a fusion-expressing line, RT-PCR in six EMC tumours</w:t>
            </w:r>
          </w:p>
        </w:tc>
        <w:tc>
          <w:tcPr>
            <w:tcW w:type="dxa" w:w="1814"/>
            <w:tcMar>
              <w:top w:w="80" w:type="dxa"/>
              <w:left w:w="80" w:type="dxa"/>
              <w:bottom w:w="80" w:type="dxa"/>
              <w:right w:w="80" w:type="dxa"/>
            </w:tcMar>
          </w:tcPr>
          <w:p>
            <w:pPr>
              <w:spacing w:after="60" w:line="240" w:lineRule="auto"/>
            </w:pPr>
            <w:r>
              <w:rPr>
                <w:b w:val="0"/>
                <w:i w:val="0"/>
                <w:sz w:val="19"/>
              </w:rPr>
              <w:t>CFK2 chondrogenic cells over-expressing EWS/NOR1; human EMC tumours vs immortalised and primary human chondrocytes</w:t>
            </w:r>
          </w:p>
        </w:tc>
        <w:tc>
          <w:tcPr>
            <w:tcW w:type="dxa" w:w="1077"/>
            <w:tcMar>
              <w:top w:w="80" w:type="dxa"/>
              <w:left w:w="80" w:type="dxa"/>
              <w:bottom w:w="80" w:type="dxa"/>
              <w:right w:w="80" w:type="dxa"/>
            </w:tcMar>
          </w:tcPr>
          <w:p>
            <w:pPr>
              <w:spacing w:after="60" w:line="240" w:lineRule="auto"/>
            </w:pPr>
            <w:r>
              <w:rPr>
                <w:b w:val="0"/>
                <w:i w:val="0"/>
                <w:sz w:val="19"/>
              </w:rPr>
              <w:t>rat cells; human tumours</w:t>
            </w:r>
          </w:p>
        </w:tc>
        <w:tc>
          <w:tcPr>
            <w:tcW w:type="dxa" w:w="3288"/>
            <w:tcMar>
              <w:top w:w="80" w:type="dxa"/>
              <w:left w:w="80" w:type="dxa"/>
              <w:bottom w:w="80" w:type="dxa"/>
              <w:right w:w="80" w:type="dxa"/>
            </w:tcMar>
          </w:tcPr>
          <w:p>
            <w:pPr>
              <w:spacing w:after="60" w:line="240" w:lineRule="auto"/>
            </w:pPr>
            <w:r>
              <w:rPr>
                <w:b w:val="0"/>
                <w:i w:val="0"/>
                <w:sz w:val="19"/>
              </w:rPr>
              <w:t>DOWN</w:t>
            </w:r>
          </w:p>
        </w:tc>
        <w:tc>
          <w:tcPr>
            <w:tcW w:type="dxa" w:w="2098"/>
            <w:tcMar>
              <w:top w:w="80" w:type="dxa"/>
              <w:left w:w="80" w:type="dxa"/>
              <w:bottom w:w="80" w:type="dxa"/>
              <w:right w:w="80" w:type="dxa"/>
            </w:tcMar>
          </w:tcPr>
          <w:p>
            <w:pPr>
              <w:spacing w:after="60" w:line="240" w:lineRule="auto"/>
            </w:pPr>
            <w:r>
              <w:rPr>
                <w:b w:val="0"/>
                <w:i w:val="0"/>
                <w:sz w:val="19"/>
              </w:rPr>
              <w:t>Filion C, et al. The PLAGL1 gene is down-regulated in human extraskeletal myxoid chondrosarcoma tumors. Cancer Lett 2005. PMID 16112421, doi 10.1016/j.canlet.2004.12.007</w:t>
            </w:r>
          </w:p>
        </w:tc>
      </w:tr>
      <w:tr>
        <w:trPr>
          <w:cantSplit/>
        </w:trPr>
        <w:tc>
          <w:tcPr>
            <w:tcW w:type="dxa" w:w="964"/>
            <w:tcMar>
              <w:top w:w="80" w:type="dxa"/>
              <w:left w:w="80" w:type="dxa"/>
              <w:bottom w:w="80" w:type="dxa"/>
              <w:right w:w="80" w:type="dxa"/>
            </w:tcMar>
          </w:tcPr>
          <w:p>
            <w:pPr>
              <w:spacing w:after="60" w:line="240" w:lineRule="auto"/>
            </w:pPr>
            <w:r>
              <w:rPr>
                <w:b/>
                <w:i w:val="0"/>
                <w:sz w:val="19"/>
              </w:rPr>
              <w:t>SGK1</w:t>
            </w:r>
          </w:p>
        </w:tc>
        <w:tc>
          <w:tcPr>
            <w:tcW w:type="dxa" w:w="1020"/>
            <w:tcMar>
              <w:top w:w="80" w:type="dxa"/>
              <w:left w:w="80" w:type="dxa"/>
              <w:bottom w:w="80" w:type="dxa"/>
              <w:right w:w="80" w:type="dxa"/>
            </w:tcMar>
          </w:tcPr>
          <w:p>
            <w:pPr>
              <w:spacing w:after="60" w:line="240" w:lineRule="auto"/>
            </w:pPr>
            <w:r>
              <w:rPr>
                <w:b w:val="0"/>
                <w:i w:val="0"/>
                <w:sz w:val="19"/>
              </w:rPr>
              <w:t>C</w:t>
            </w:r>
          </w:p>
        </w:tc>
        <w:tc>
          <w:tcPr>
            <w:tcW w:type="dxa" w:w="1701"/>
            <w:tcMar>
              <w:top w:w="80" w:type="dxa"/>
              <w:left w:w="80" w:type="dxa"/>
              <w:bottom w:w="80" w:type="dxa"/>
              <w:right w:w="80" w:type="dxa"/>
            </w:tcMar>
          </w:tcPr>
          <w:p>
            <w:pPr>
              <w:spacing w:after="60" w:line="240" w:lineRule="auto"/>
            </w:pPr>
            <w:r>
              <w:rPr>
                <w:b w:val="0"/>
                <w:i w:val="0"/>
                <w:sz w:val="19"/>
              </w:rPr>
              <w:t>EWSR1::NR4A3</w:t>
            </w:r>
          </w:p>
        </w:tc>
        <w:tc>
          <w:tcPr>
            <w:tcW w:type="dxa" w:w="2154"/>
            <w:tcMar>
              <w:top w:w="80" w:type="dxa"/>
              <w:left w:w="80" w:type="dxa"/>
              <w:bottom w:w="80" w:type="dxa"/>
              <w:right w:w="80" w:type="dxa"/>
            </w:tcMar>
          </w:tcPr>
          <w:p>
            <w:pPr>
              <w:spacing w:after="60" w:line="240" w:lineRule="auto"/>
            </w:pPr>
            <w:r>
              <w:rPr>
                <w:b w:val="0"/>
                <w:i w:val="0"/>
                <w:sz w:val="19"/>
              </w:rPr>
              <w:t>differential display in a tetracycline-regulated fusion line, co-immunocytochemistry, immunohistochemistry in 10 fusion-positive EMC</w:t>
            </w:r>
          </w:p>
        </w:tc>
        <w:tc>
          <w:tcPr>
            <w:tcW w:type="dxa" w:w="1814"/>
            <w:tcMar>
              <w:top w:w="80" w:type="dxa"/>
              <w:left w:w="80" w:type="dxa"/>
              <w:bottom w:w="80" w:type="dxa"/>
              <w:right w:w="80" w:type="dxa"/>
            </w:tcMar>
          </w:tcPr>
          <w:p>
            <w:pPr>
              <w:spacing w:after="60" w:line="240" w:lineRule="auto"/>
            </w:pPr>
            <w:r>
              <w:rPr>
                <w:b w:val="0"/>
                <w:i w:val="0"/>
                <w:sz w:val="19"/>
              </w:rPr>
              <w:t>CFK2 fetal RAT chondrogenic cells with tetracycline-controlled EWS/NOR1</w:t>
            </w:r>
          </w:p>
        </w:tc>
        <w:tc>
          <w:tcPr>
            <w:tcW w:type="dxa" w:w="1077"/>
            <w:tcMar>
              <w:top w:w="80" w:type="dxa"/>
              <w:left w:w="80" w:type="dxa"/>
              <w:bottom w:w="80" w:type="dxa"/>
              <w:right w:w="80" w:type="dxa"/>
            </w:tcMar>
          </w:tcPr>
          <w:p>
            <w:pPr>
              <w:spacing w:after="60" w:line="240" w:lineRule="auto"/>
            </w:pPr>
            <w:r>
              <w:rPr>
                <w:b w:val="0"/>
                <w:i w:val="0"/>
                <w:sz w:val="19"/>
              </w:rPr>
              <w:t>rat</w:t>
            </w:r>
          </w:p>
        </w:tc>
        <w:tc>
          <w:tcPr>
            <w:tcW w:type="dxa" w:w="3288"/>
            <w:tcMar>
              <w:top w:w="80" w:type="dxa"/>
              <w:left w:w="80" w:type="dxa"/>
              <w:bottom w:w="80" w:type="dxa"/>
              <w:right w:w="80" w:type="dxa"/>
            </w:tcMar>
          </w:tcPr>
          <w:p>
            <w:pPr>
              <w:spacing w:after="60" w:line="240" w:lineRule="auto"/>
            </w:pPr>
            <w:r>
              <w:rPr>
                <w:b w:val="0"/>
                <w:i w:val="0"/>
                <w:sz w:val="19"/>
              </w:rPr>
              <w:t>FLAT_OR_DOWN_AT_TRANSCRIPT_LEVEL</w:t>
            </w:r>
          </w:p>
        </w:tc>
        <w:tc>
          <w:tcPr>
            <w:tcW w:type="dxa" w:w="2098"/>
            <w:tcMar>
              <w:top w:w="80" w:type="dxa"/>
              <w:left w:w="80" w:type="dxa"/>
              <w:bottom w:w="80" w:type="dxa"/>
              <w:right w:w="80" w:type="dxa"/>
            </w:tcMar>
          </w:tcPr>
          <w:p>
            <w:pPr>
              <w:spacing w:after="60" w:line="240" w:lineRule="auto"/>
            </w:pPr>
            <w:r>
              <w:rPr>
                <w:b w:val="0"/>
                <w:i w:val="0"/>
                <w:sz w:val="19"/>
              </w:rPr>
              <w:t>Labelle Y, et al. Serum- and glucocorticoid-regulated kinase 1 (SGK1) induction by the EWS/NOR1(NR4A3) fusion protein. Biochem Biophys Res Commun 2006. PMID 16756948, doi 10.1016/j.bbrc.2006.05.134</w:t>
            </w:r>
          </w:p>
        </w:tc>
      </w:tr>
      <w:tr>
        <w:trPr>
          <w:cantSplit/>
        </w:trPr>
        <w:tc>
          <w:tcPr>
            <w:tcW w:type="dxa" w:w="964"/>
            <w:tcMar>
              <w:top w:w="80" w:type="dxa"/>
              <w:left w:w="80" w:type="dxa"/>
              <w:bottom w:w="80" w:type="dxa"/>
              <w:right w:w="80" w:type="dxa"/>
            </w:tcMar>
          </w:tcPr>
          <w:p>
            <w:pPr>
              <w:spacing w:after="60" w:line="240" w:lineRule="auto"/>
            </w:pPr>
            <w:r>
              <w:rPr>
                <w:b/>
                <w:i w:val="0"/>
                <w:sz w:val="19"/>
              </w:rPr>
              <w:t>NDRG2</w:t>
            </w:r>
          </w:p>
        </w:tc>
        <w:tc>
          <w:tcPr>
            <w:tcW w:type="dxa" w:w="1020"/>
            <w:tcMar>
              <w:top w:w="80" w:type="dxa"/>
              <w:left w:w="80" w:type="dxa"/>
              <w:bottom w:w="80" w:type="dxa"/>
              <w:right w:w="80" w:type="dxa"/>
            </w:tcMar>
          </w:tcPr>
          <w:p>
            <w:pPr>
              <w:spacing w:after="60" w:line="240" w:lineRule="auto"/>
            </w:pPr>
            <w:r>
              <w:rPr>
                <w:b w:val="0"/>
                <w:i w:val="0"/>
                <w:sz w:val="19"/>
              </w:rPr>
              <w:t>D</w:t>
            </w:r>
          </w:p>
        </w:tc>
        <w:tc>
          <w:tcPr>
            <w:tcW w:type="dxa" w:w="1701"/>
            <w:tcMar>
              <w:top w:w="80" w:type="dxa"/>
              <w:left w:w="80" w:type="dxa"/>
              <w:bottom w:w="80" w:type="dxa"/>
              <w:right w:w="80" w:type="dxa"/>
            </w:tcMar>
          </w:tcPr>
          <w:p>
            <w:pPr>
              <w:spacing w:after="60" w:line="240" w:lineRule="auto"/>
            </w:pPr>
            <w:r>
              <w:rPr>
                <w:b w:val="0"/>
                <w:i w:val="0"/>
                <w:sz w:val="19"/>
              </w:rPr>
              <w:t>[]</w:t>
            </w:r>
          </w:p>
        </w:tc>
        <w:tc>
          <w:tcPr>
            <w:tcW w:type="dxa" w:w="2154"/>
            <w:tcMar>
              <w:top w:w="80" w:type="dxa"/>
              <w:left w:w="80" w:type="dxa"/>
              <w:bottom w:w="80" w:type="dxa"/>
              <w:right w:w="80" w:type="dxa"/>
            </w:tcMar>
          </w:tcPr>
          <w:p>
            <w:pPr>
              <w:spacing w:after="60" w:line="240" w:lineRule="auto"/>
            </w:pPr>
            <w:r>
              <w:rPr>
                <w:b w:val="0"/>
                <w:i w:val="0"/>
                <w:sz w:val="19"/>
              </w:rPr>
              <w:t>Affymetrix U133A microarray, 3 fusion-positive EMC vs 137 other sarcomas, Western blot, immunohistochemistry in 9/9 EWSR1/NR4A3-positive EMC</w:t>
            </w:r>
          </w:p>
        </w:tc>
        <w:tc>
          <w:tcPr>
            <w:tcW w:type="dxa" w:w="1814"/>
            <w:tcMar>
              <w:top w:w="80" w:type="dxa"/>
              <w:left w:w="80" w:type="dxa"/>
              <w:bottom w:w="80" w:type="dxa"/>
              <w:right w:w="80" w:type="dxa"/>
            </w:tcMar>
          </w:tcPr>
          <w:p>
            <w:pPr>
              <w:spacing w:after="60" w:line="240" w:lineRule="auto"/>
            </w:pPr>
            <w:r>
              <w:rPr>
                <w:b w:val="0"/>
                <w:i w:val="0"/>
                <w:sz w:val="19"/>
              </w:rPr>
              <w:t>human EMC tumour tissue</w:t>
            </w:r>
          </w:p>
        </w:tc>
        <w:tc>
          <w:tcPr>
            <w:tcW w:type="dxa" w:w="1077"/>
            <w:tcMar>
              <w:top w:w="80" w:type="dxa"/>
              <w:left w:w="80" w:type="dxa"/>
              <w:bottom w:w="80" w:type="dxa"/>
              <w:right w:w="80" w:type="dxa"/>
            </w:tcMar>
          </w:tcPr>
          <w:p>
            <w:pPr>
              <w:spacing w:after="60" w:line="240" w:lineRule="auto"/>
            </w:pPr>
            <w:r>
              <w:rPr>
                <w:b w:val="0"/>
                <w:i w:val="0"/>
                <w:sz w:val="19"/>
              </w:rPr>
              <w:t>human</w:t>
            </w:r>
          </w:p>
        </w:tc>
        <w:tc>
          <w:tcPr>
            <w:tcW w:type="dxa" w:w="3288"/>
            <w:tcMar>
              <w:top w:w="80" w:type="dxa"/>
              <w:left w:w="80" w:type="dxa"/>
              <w:bottom w:w="80" w:type="dxa"/>
              <w:right w:w="80" w:type="dxa"/>
            </w:tcMar>
          </w:tcPr>
          <w:p>
            <w:pPr>
              <w:spacing w:after="60" w:line="240" w:lineRule="auto"/>
            </w:pPr>
            <w:r>
              <w:rPr>
                <w:b w:val="0"/>
                <w:i w:val="0"/>
                <w:sz w:val="19"/>
              </w:rPr>
              <w:t>UP</w:t>
            </w:r>
          </w:p>
        </w:tc>
        <w:tc>
          <w:tcPr>
            <w:tcW w:type="dxa" w:w="2098"/>
            <w:tcMar>
              <w:top w:w="80" w:type="dxa"/>
              <w:left w:w="80" w:type="dxa"/>
              <w:bottom w:w="80" w:type="dxa"/>
              <w:right w:w="80" w:type="dxa"/>
            </w:tcMar>
          </w:tcPr>
          <w:p>
            <w:pPr>
              <w:spacing w:after="60" w:line="240" w:lineRule="auto"/>
            </w:pPr>
            <w:r>
              <w:rPr>
                <w:b w:val="0"/>
                <w:i w:val="0"/>
                <w:sz w:val="19"/>
              </w:rPr>
              <w:t>Filion C, et al. J Pathol 2009;217(1):83-93. PMID 18855877, PMCID PMC4429309</w:t>
            </w:r>
          </w:p>
        </w:tc>
      </w:tr>
    </w:tbl>
    <w:p>
      <w:pPr>
        <w:pStyle w:val="Heading1"/>
      </w:pPr>
      <w:r>
        <w:rPr>
          <w:b w:val="0"/>
          <w:i w:val="0"/>
        </w:rPr>
        <w:t>S3 · Every scored gene set, with its detectability threshold</w:t>
      </w:r>
    </w:p>
    <w:p>
      <w:r>
        <w:rPr>
          <w:b w:val="0"/>
          <w:i w:val="0"/>
        </w:rPr>
        <w:t xml:space="preserve">The </w:t>
      </w:r>
      <w:r>
        <w:rPr>
          <w:b/>
          <w:i w:val="0"/>
        </w:rPr>
        <w:t>threshold</w:t>
      </w:r>
      <w:r>
        <w:rPr>
          <w:b w:val="0"/>
          <w:i w:val="0"/>
        </w:rPr>
        <w:t xml:space="preserve"> is the delta needed to exceed the 95% band of the size-matched null. The </w:t>
      </w:r>
      <w:r>
        <w:rPr>
          <w:b/>
          <w:i w:val="0"/>
        </w:rPr>
        <w:t>reached</w:t>
      </w:r>
      <w:r>
        <w:rPr>
          <w:b w:val="0"/>
          <w:i w:val="0"/>
        </w:rPr>
        <w:t xml:space="preserve"> column divides the observed delta by that threshold: values below 1 are fractions of the threshold, and values at or above 1 are multiples. The A+B target set reached 39% and 88% of its thresholds. The published EMC signature exceeded its thresholds 11.9× and 4.2×. The column shows how far each set lies from the stated criterion, rather than reporting only whether it passed.</w:t>
      </w:r>
    </w:p>
    <w:p>
      <w:r>
        <w:rPr>
          <w:b w:val="0"/>
          <w:i w:val="0"/>
        </w:rPr>
        <w:t>Two results exceed their competitive thresholds only narrowly: the PPARγ KO_UP falsifier and the TRRUST human-curated set on GPL6244 each reach 1.02×. Neither is a main-text conclusion. An excess of 2% should not be read as equivalent to an excess of 12-fold; the table reports the multiples to keep that distinction visible.</w:t>
      </w:r>
    </w:p>
    <w:p>
      <w:r>
        <w:rPr>
          <w:b/>
          <w:i w:val="0"/>
        </w:rPr>
        <w:t>Set E is circular on GPL3290</w:t>
      </w:r>
      <w:r>
        <w:rPr>
          <w:b w:val="0"/>
          <w:i w:val="0"/>
        </w:rPr>
        <w:t xml:space="preserve"> and is reported for completeness only (§S1.2).</w:t>
      </w:r>
    </w:p>
    <w:p>
      <w:pPr>
        <w:pStyle w:val="Heading2"/>
      </w:pPr>
      <w:r>
        <w:rPr>
          <w:b w:val="0"/>
          <w:i w:val="0"/>
        </w:rPr>
        <w:t>TABLE S2 — every scored gene set, with its detectability threshold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268"/>
        <w:gridCol w:w="1134"/>
        <w:gridCol w:w="907"/>
        <w:gridCol w:w="1020"/>
        <w:gridCol w:w="1928"/>
        <w:gridCol w:w="1417"/>
        <w:gridCol w:w="1191"/>
        <w:gridCol w:w="4252"/>
      </w:tblGrid>
      <w:tr>
        <w:trPr>
          <w:cantSplit/>
          <w:tblHeader/>
        </w:trPr>
        <w:tc>
          <w:tcPr>
            <w:tcW w:type="dxa" w:w="2268"/>
            <w:tcMar>
              <w:top w:w="80" w:type="dxa"/>
              <w:left w:w="80" w:type="dxa"/>
              <w:bottom w:w="80" w:type="dxa"/>
              <w:right w:w="80" w:type="dxa"/>
            </w:tcMar>
          </w:tcPr>
          <w:p>
            <w:pPr>
              <w:keepNext/>
              <w:spacing w:after="60" w:line="240" w:lineRule="auto"/>
            </w:pPr>
            <w:r>
              <w:rPr>
                <w:b/>
                <w:i w:val="0"/>
                <w:sz w:val="19"/>
              </w:rPr>
              <w:t>set</w:t>
            </w:r>
          </w:p>
        </w:tc>
        <w:tc>
          <w:tcPr>
            <w:tcW w:type="dxa" w:w="1134"/>
            <w:tcMar>
              <w:top w:w="80" w:type="dxa"/>
              <w:left w:w="80" w:type="dxa"/>
              <w:bottom w:w="80" w:type="dxa"/>
              <w:right w:w="80" w:type="dxa"/>
            </w:tcMar>
          </w:tcPr>
          <w:p>
            <w:pPr>
              <w:keepNext/>
              <w:spacing w:after="60" w:line="240" w:lineRule="auto"/>
            </w:pPr>
            <w:r>
              <w:rPr>
                <w:b/>
                <w:i w:val="0"/>
                <w:sz w:val="19"/>
              </w:rPr>
              <w:t>platform</w:t>
            </w:r>
          </w:p>
        </w:tc>
        <w:tc>
          <w:tcPr>
            <w:tcW w:type="dxa" w:w="907"/>
            <w:tcMar>
              <w:top w:w="80" w:type="dxa"/>
              <w:left w:w="80" w:type="dxa"/>
              <w:bottom w:w="80" w:type="dxa"/>
              <w:right w:w="80" w:type="dxa"/>
            </w:tcMar>
          </w:tcPr>
          <w:p>
            <w:pPr>
              <w:keepNext/>
              <w:spacing w:after="60" w:line="240" w:lineRule="auto"/>
            </w:pPr>
            <w:r>
              <w:rPr>
                <w:b/>
                <w:i w:val="0"/>
                <w:sz w:val="19"/>
              </w:rPr>
              <w:t>n genes</w:t>
            </w:r>
          </w:p>
        </w:tc>
        <w:tc>
          <w:tcPr>
            <w:tcW w:type="dxa" w:w="1020"/>
            <w:tcMar>
              <w:top w:w="80" w:type="dxa"/>
              <w:left w:w="80" w:type="dxa"/>
              <w:bottom w:w="80" w:type="dxa"/>
              <w:right w:w="80" w:type="dxa"/>
            </w:tcMar>
          </w:tcPr>
          <w:p>
            <w:pPr>
              <w:keepNext/>
              <w:spacing w:after="60" w:line="240" w:lineRule="auto"/>
            </w:pPr>
            <w:r>
              <w:rPr>
                <w:b/>
                <w:i w:val="0"/>
                <w:sz w:val="19"/>
              </w:rPr>
              <w:t>Δ</w:t>
            </w:r>
          </w:p>
        </w:tc>
        <w:tc>
          <w:tcPr>
            <w:tcW w:type="dxa" w:w="1928"/>
            <w:tcMar>
              <w:top w:w="80" w:type="dxa"/>
              <w:left w:w="80" w:type="dxa"/>
              <w:bottom w:w="80" w:type="dxa"/>
              <w:right w:w="80" w:type="dxa"/>
            </w:tcMar>
          </w:tcPr>
          <w:p>
            <w:pPr>
              <w:keepNext/>
              <w:spacing w:after="60" w:line="240" w:lineRule="auto"/>
            </w:pPr>
            <w:r>
              <w:rPr>
                <w:b/>
                <w:i w:val="0"/>
                <w:sz w:val="19"/>
              </w:rPr>
              <w:t>null 95% band</w:t>
            </w:r>
          </w:p>
        </w:tc>
        <w:tc>
          <w:tcPr>
            <w:tcW w:type="dxa" w:w="1417"/>
            <w:tcMar>
              <w:top w:w="80" w:type="dxa"/>
              <w:left w:w="80" w:type="dxa"/>
              <w:bottom w:w="80" w:type="dxa"/>
              <w:right w:w="80" w:type="dxa"/>
            </w:tcMar>
          </w:tcPr>
          <w:p>
            <w:pPr>
              <w:keepNext/>
              <w:spacing w:after="60" w:line="240" w:lineRule="auto"/>
            </w:pPr>
            <w:r>
              <w:rPr>
                <w:b/>
                <w:i w:val="0"/>
                <w:sz w:val="19"/>
              </w:rPr>
              <w:t>threshold</w:t>
            </w:r>
          </w:p>
        </w:tc>
        <w:tc>
          <w:tcPr>
            <w:tcW w:type="dxa" w:w="1191"/>
            <w:tcMar>
              <w:top w:w="80" w:type="dxa"/>
              <w:left w:w="80" w:type="dxa"/>
              <w:bottom w:w="80" w:type="dxa"/>
              <w:right w:w="80" w:type="dxa"/>
            </w:tcMar>
          </w:tcPr>
          <w:p>
            <w:pPr>
              <w:keepNext/>
              <w:spacing w:after="60" w:line="240" w:lineRule="auto"/>
            </w:pPr>
            <w:r>
              <w:rPr>
                <w:b/>
                <w:i w:val="0"/>
                <w:sz w:val="19"/>
              </w:rPr>
              <w:t>reached</w:t>
            </w:r>
          </w:p>
        </w:tc>
        <w:tc>
          <w:tcPr>
            <w:tcW w:type="dxa" w:w="4252"/>
            <w:tcMar>
              <w:top w:w="80" w:type="dxa"/>
              <w:left w:w="80" w:type="dxa"/>
              <w:bottom w:w="80" w:type="dxa"/>
              <w:right w:w="80" w:type="dxa"/>
            </w:tcMar>
          </w:tcPr>
          <w:p>
            <w:pPr>
              <w:keepNext/>
              <w:spacing w:after="60" w:line="240" w:lineRule="auto"/>
            </w:pPr>
            <w:r>
              <w:rPr>
                <w:b/>
                <w:i w:val="0"/>
                <w:sz w:val="19"/>
              </w:rPr>
              <w:t>verdict</w:t>
            </w:r>
          </w:p>
        </w:tc>
      </w:tr>
      <w:tr>
        <w:trPr>
          <w:cantSplit/>
        </w:trPr>
        <w:tc>
          <w:tcPr>
            <w:tcW w:type="dxa" w:w="2268"/>
            <w:tcMar>
              <w:top w:w="80" w:type="dxa"/>
              <w:left w:w="80" w:type="dxa"/>
              <w:bottom w:w="80" w:type="dxa"/>
              <w:right w:w="80" w:type="dxa"/>
            </w:tcMar>
          </w:tcPr>
          <w:p>
            <w:pPr>
              <w:spacing w:after="60" w:line="240" w:lineRule="auto"/>
            </w:pPr>
            <w:r>
              <w:rPr>
                <w:b w:val="0"/>
                <w:i w:val="0"/>
                <w:sz w:val="19"/>
              </w:rPr>
              <w:t>A_fusion_dna_binding_targets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A_fusion_dna_binding_targets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A_plus_B_all_dna_binding</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19</w:t>
            </w:r>
          </w:p>
        </w:tc>
        <w:tc>
          <w:tcPr>
            <w:tcW w:type="dxa" w:w="1020"/>
            <w:tcMar>
              <w:top w:w="80" w:type="dxa"/>
              <w:left w:w="80" w:type="dxa"/>
              <w:bottom w:w="80" w:type="dxa"/>
              <w:right w:w="80" w:type="dxa"/>
            </w:tcMar>
          </w:tcPr>
          <w:p>
            <w:pPr>
              <w:spacing w:after="60" w:line="240" w:lineRule="auto"/>
            </w:pPr>
            <w:r>
              <w:rPr>
                <w:b w:val="0"/>
                <w:i w:val="0"/>
                <w:sz w:val="19"/>
              </w:rPr>
              <w:t>+0.0403</w:t>
            </w:r>
          </w:p>
        </w:tc>
        <w:tc>
          <w:tcPr>
            <w:tcW w:type="dxa" w:w="1928"/>
            <w:tcMar>
              <w:top w:w="80" w:type="dxa"/>
              <w:left w:w="80" w:type="dxa"/>
              <w:bottom w:w="80" w:type="dxa"/>
              <w:right w:w="80" w:type="dxa"/>
            </w:tcMar>
          </w:tcPr>
          <w:p>
            <w:pPr>
              <w:spacing w:after="60" w:line="240" w:lineRule="auto"/>
            </w:pPr>
            <w:r>
              <w:rPr>
                <w:b w:val="0"/>
                <w:i w:val="0"/>
                <w:sz w:val="19"/>
              </w:rPr>
              <w:t>[-0.1418, +0.1047]</w:t>
            </w:r>
          </w:p>
        </w:tc>
        <w:tc>
          <w:tcPr>
            <w:tcW w:type="dxa" w:w="1417"/>
            <w:tcMar>
              <w:top w:w="80" w:type="dxa"/>
              <w:left w:w="80" w:type="dxa"/>
              <w:bottom w:w="80" w:type="dxa"/>
              <w:right w:w="80" w:type="dxa"/>
            </w:tcMar>
          </w:tcPr>
          <w:p>
            <w:pPr>
              <w:spacing w:after="60" w:line="240" w:lineRule="auto"/>
            </w:pPr>
            <w:r>
              <w:rPr>
                <w:b w:val="0"/>
                <w:i w:val="0"/>
                <w:sz w:val="19"/>
              </w:rPr>
              <w:t>0.10465</w:t>
            </w:r>
          </w:p>
        </w:tc>
        <w:tc>
          <w:tcPr>
            <w:tcW w:type="dxa" w:w="1191"/>
            <w:tcMar>
              <w:top w:w="80" w:type="dxa"/>
              <w:left w:w="80" w:type="dxa"/>
              <w:bottom w:w="80" w:type="dxa"/>
              <w:right w:w="80" w:type="dxa"/>
            </w:tcMar>
          </w:tcPr>
          <w:p>
            <w:pPr>
              <w:spacing w:after="60" w:line="240" w:lineRule="auto"/>
            </w:pPr>
            <w:r>
              <w:rPr>
                <w:b w:val="0"/>
                <w:i w:val="0"/>
                <w:sz w:val="19"/>
              </w:rPr>
              <w:t>39%</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A_plus_B_all_dna_binding</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17</w:t>
            </w:r>
          </w:p>
        </w:tc>
        <w:tc>
          <w:tcPr>
            <w:tcW w:type="dxa" w:w="1020"/>
            <w:tcMar>
              <w:top w:w="80" w:type="dxa"/>
              <w:left w:w="80" w:type="dxa"/>
              <w:bottom w:w="80" w:type="dxa"/>
              <w:right w:w="80" w:type="dxa"/>
            </w:tcMar>
          </w:tcPr>
          <w:p>
            <w:pPr>
              <w:spacing w:after="60" w:line="240" w:lineRule="auto"/>
            </w:pPr>
            <w:r>
              <w:rPr>
                <w:b w:val="0"/>
                <w:i w:val="0"/>
                <w:sz w:val="19"/>
              </w:rPr>
              <w:t>+0.3301</w:t>
            </w:r>
          </w:p>
        </w:tc>
        <w:tc>
          <w:tcPr>
            <w:tcW w:type="dxa" w:w="1928"/>
            <w:tcMar>
              <w:top w:w="80" w:type="dxa"/>
              <w:left w:w="80" w:type="dxa"/>
              <w:bottom w:w="80" w:type="dxa"/>
              <w:right w:w="80" w:type="dxa"/>
            </w:tcMar>
          </w:tcPr>
          <w:p>
            <w:pPr>
              <w:spacing w:after="60" w:line="240" w:lineRule="auto"/>
            </w:pPr>
            <w:r>
              <w:rPr>
                <w:b w:val="0"/>
                <w:i w:val="0"/>
                <w:sz w:val="19"/>
              </w:rPr>
              <w:t>[-0.2972, +0.3765]</w:t>
            </w:r>
          </w:p>
        </w:tc>
        <w:tc>
          <w:tcPr>
            <w:tcW w:type="dxa" w:w="1417"/>
            <w:tcMar>
              <w:top w:w="80" w:type="dxa"/>
              <w:left w:w="80" w:type="dxa"/>
              <w:bottom w:w="80" w:type="dxa"/>
              <w:right w:w="80" w:type="dxa"/>
            </w:tcMar>
          </w:tcPr>
          <w:p>
            <w:pPr>
              <w:spacing w:after="60" w:line="240" w:lineRule="auto"/>
            </w:pPr>
            <w:r>
              <w:rPr>
                <w:b w:val="0"/>
                <w:i w:val="0"/>
                <w:sz w:val="19"/>
              </w:rPr>
              <w:t>0.37648</w:t>
            </w:r>
          </w:p>
        </w:tc>
        <w:tc>
          <w:tcPr>
            <w:tcW w:type="dxa" w:w="1191"/>
            <w:tcMar>
              <w:top w:w="80" w:type="dxa"/>
              <w:left w:w="80" w:type="dxa"/>
              <w:bottom w:w="80" w:type="dxa"/>
              <w:right w:w="80" w:type="dxa"/>
            </w:tcMar>
          </w:tcPr>
          <w:p>
            <w:pPr>
              <w:spacing w:after="60" w:line="240" w:lineRule="auto"/>
            </w:pPr>
            <w:r>
              <w:rPr>
                <w:b w:val="0"/>
                <w:i w:val="0"/>
                <w:sz w:val="19"/>
              </w:rPr>
              <w:t>88%</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B_native_nr4a3_dna_binding_targets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16</w:t>
            </w:r>
          </w:p>
        </w:tc>
        <w:tc>
          <w:tcPr>
            <w:tcW w:type="dxa" w:w="1020"/>
            <w:tcMar>
              <w:top w:w="80" w:type="dxa"/>
              <w:left w:w="80" w:type="dxa"/>
              <w:bottom w:w="80" w:type="dxa"/>
              <w:right w:w="80" w:type="dxa"/>
            </w:tcMar>
          </w:tcPr>
          <w:p>
            <w:pPr>
              <w:spacing w:after="60" w:line="240" w:lineRule="auto"/>
            </w:pPr>
            <w:r>
              <w:rPr>
                <w:b w:val="0"/>
                <w:i w:val="0"/>
                <w:sz w:val="19"/>
              </w:rPr>
              <w:t>-0.0675</w:t>
            </w:r>
          </w:p>
        </w:tc>
        <w:tc>
          <w:tcPr>
            <w:tcW w:type="dxa" w:w="1928"/>
            <w:tcMar>
              <w:top w:w="80" w:type="dxa"/>
              <w:left w:w="80" w:type="dxa"/>
              <w:bottom w:w="80" w:type="dxa"/>
              <w:right w:w="80" w:type="dxa"/>
            </w:tcMar>
          </w:tcPr>
          <w:p>
            <w:pPr>
              <w:spacing w:after="60" w:line="240" w:lineRule="auto"/>
            </w:pPr>
            <w:r>
              <w:rPr>
                <w:b w:val="0"/>
                <w:i w:val="0"/>
                <w:sz w:val="19"/>
              </w:rPr>
              <w:t>[-0.1568, +0.1142]</w:t>
            </w:r>
          </w:p>
        </w:tc>
        <w:tc>
          <w:tcPr>
            <w:tcW w:type="dxa" w:w="1417"/>
            <w:tcMar>
              <w:top w:w="80" w:type="dxa"/>
              <w:left w:w="80" w:type="dxa"/>
              <w:bottom w:w="80" w:type="dxa"/>
              <w:right w:w="80" w:type="dxa"/>
            </w:tcMar>
          </w:tcPr>
          <w:p>
            <w:pPr>
              <w:spacing w:after="60" w:line="240" w:lineRule="auto"/>
            </w:pPr>
            <w:r>
              <w:rPr>
                <w:b w:val="0"/>
                <w:i w:val="0"/>
                <w:sz w:val="19"/>
              </w:rPr>
              <w:t>-0.15684</w:t>
            </w:r>
          </w:p>
        </w:tc>
        <w:tc>
          <w:tcPr>
            <w:tcW w:type="dxa" w:w="1191"/>
            <w:tcMar>
              <w:top w:w="80" w:type="dxa"/>
              <w:left w:w="80" w:type="dxa"/>
              <w:bottom w:w="80" w:type="dxa"/>
              <w:right w:w="80" w:type="dxa"/>
            </w:tcMar>
          </w:tcPr>
          <w:p>
            <w:pPr>
              <w:spacing w:after="60" w:line="240" w:lineRule="auto"/>
            </w:pPr>
            <w:r>
              <w:rPr>
                <w:b w:val="0"/>
                <w:i w:val="0"/>
                <w:sz w:val="19"/>
              </w:rPr>
              <w:t>43%</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B_native_nr4a3_dna_binding_targets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14</w:t>
            </w:r>
          </w:p>
        </w:tc>
        <w:tc>
          <w:tcPr>
            <w:tcW w:type="dxa" w:w="1020"/>
            <w:tcMar>
              <w:top w:w="80" w:type="dxa"/>
              <w:left w:w="80" w:type="dxa"/>
              <w:bottom w:w="80" w:type="dxa"/>
              <w:right w:w="80" w:type="dxa"/>
            </w:tcMar>
          </w:tcPr>
          <w:p>
            <w:pPr>
              <w:spacing w:after="60" w:line="240" w:lineRule="auto"/>
            </w:pPr>
            <w:r>
              <w:rPr>
                <w:b w:val="0"/>
                <w:i w:val="0"/>
                <w:sz w:val="19"/>
              </w:rPr>
              <w:t>-0.1453</w:t>
            </w:r>
          </w:p>
        </w:tc>
        <w:tc>
          <w:tcPr>
            <w:tcW w:type="dxa" w:w="1928"/>
            <w:tcMar>
              <w:top w:w="80" w:type="dxa"/>
              <w:left w:w="80" w:type="dxa"/>
              <w:bottom w:w="80" w:type="dxa"/>
              <w:right w:w="80" w:type="dxa"/>
            </w:tcMar>
          </w:tcPr>
          <w:p>
            <w:pPr>
              <w:spacing w:after="60" w:line="240" w:lineRule="auto"/>
            </w:pPr>
            <w:r>
              <w:rPr>
                <w:b w:val="0"/>
                <w:i w:val="0"/>
                <w:sz w:val="19"/>
              </w:rPr>
              <w:t>[-0.3357, +0.3971]</w:t>
            </w:r>
          </w:p>
        </w:tc>
        <w:tc>
          <w:tcPr>
            <w:tcW w:type="dxa" w:w="1417"/>
            <w:tcMar>
              <w:top w:w="80" w:type="dxa"/>
              <w:left w:w="80" w:type="dxa"/>
              <w:bottom w:w="80" w:type="dxa"/>
              <w:right w:w="80" w:type="dxa"/>
            </w:tcMar>
          </w:tcPr>
          <w:p>
            <w:pPr>
              <w:spacing w:after="60" w:line="240" w:lineRule="auto"/>
            </w:pPr>
            <w:r>
              <w:rPr>
                <w:b w:val="0"/>
                <w:i w:val="0"/>
                <w:sz w:val="19"/>
              </w:rPr>
              <w:t>-0.33573</w:t>
            </w:r>
          </w:p>
        </w:tc>
        <w:tc>
          <w:tcPr>
            <w:tcW w:type="dxa" w:w="1191"/>
            <w:tcMar>
              <w:top w:w="80" w:type="dxa"/>
              <w:left w:w="80" w:type="dxa"/>
              <w:bottom w:w="80" w:type="dxa"/>
              <w:right w:w="80" w:type="dxa"/>
            </w:tcMar>
          </w:tcPr>
          <w:p>
            <w:pPr>
              <w:spacing w:after="60" w:line="240" w:lineRule="auto"/>
            </w:pPr>
            <w:r>
              <w:rPr>
                <w:b w:val="0"/>
                <w:i w:val="0"/>
                <w:sz w:val="19"/>
              </w:rPr>
              <w:t>43%</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C_fusion_expression_only</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C_fusion_expression_only</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2</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D_filion_table1_emc_vs_137_sarcomas</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21</w:t>
            </w:r>
          </w:p>
        </w:tc>
        <w:tc>
          <w:tcPr>
            <w:tcW w:type="dxa" w:w="1020"/>
            <w:tcMar>
              <w:top w:w="80" w:type="dxa"/>
              <w:left w:w="80" w:type="dxa"/>
              <w:bottom w:w="80" w:type="dxa"/>
              <w:right w:w="80" w:type="dxa"/>
            </w:tcMar>
          </w:tcPr>
          <w:p>
            <w:pPr>
              <w:spacing w:after="60" w:line="240" w:lineRule="auto"/>
            </w:pPr>
            <w:r>
              <w:rPr>
                <w:b w:val="0"/>
                <w:i w:val="0"/>
                <w:sz w:val="19"/>
              </w:rPr>
              <w:t>+1.1311</w:t>
            </w:r>
          </w:p>
        </w:tc>
        <w:tc>
          <w:tcPr>
            <w:tcW w:type="dxa" w:w="1928"/>
            <w:tcMar>
              <w:top w:w="80" w:type="dxa"/>
              <w:left w:w="80" w:type="dxa"/>
              <w:bottom w:w="80" w:type="dxa"/>
              <w:right w:w="80" w:type="dxa"/>
            </w:tcMar>
          </w:tcPr>
          <w:p>
            <w:pPr>
              <w:spacing w:after="60" w:line="240" w:lineRule="auto"/>
            </w:pPr>
            <w:r>
              <w:rPr>
                <w:b w:val="0"/>
                <w:i w:val="0"/>
                <w:sz w:val="19"/>
              </w:rPr>
              <w:t>[-0.1374, +0.0947]</w:t>
            </w:r>
          </w:p>
        </w:tc>
        <w:tc>
          <w:tcPr>
            <w:tcW w:type="dxa" w:w="1417"/>
            <w:tcMar>
              <w:top w:w="80" w:type="dxa"/>
              <w:left w:w="80" w:type="dxa"/>
              <w:bottom w:w="80" w:type="dxa"/>
              <w:right w:w="80" w:type="dxa"/>
            </w:tcMar>
          </w:tcPr>
          <w:p>
            <w:pPr>
              <w:spacing w:after="60" w:line="240" w:lineRule="auto"/>
            </w:pPr>
            <w:r>
              <w:rPr>
                <w:b w:val="0"/>
                <w:i w:val="0"/>
                <w:sz w:val="19"/>
              </w:rPr>
              <w:t>0.09472</w:t>
            </w:r>
          </w:p>
        </w:tc>
        <w:tc>
          <w:tcPr>
            <w:tcW w:type="dxa" w:w="1191"/>
            <w:tcMar>
              <w:top w:w="80" w:type="dxa"/>
              <w:left w:w="80" w:type="dxa"/>
              <w:bottom w:w="80" w:type="dxa"/>
              <w:right w:w="80" w:type="dxa"/>
            </w:tcMar>
          </w:tcPr>
          <w:p>
            <w:pPr>
              <w:spacing w:after="60" w:line="240" w:lineRule="auto"/>
            </w:pPr>
            <w:r>
              <w:rPr>
                <w:b w:val="0"/>
                <w:i w:val="0"/>
                <w:sz w:val="19"/>
              </w:rPr>
              <w:t>11.94×</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D_filion_table1_emc_vs_137_sarcomas</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18</w:t>
            </w:r>
          </w:p>
        </w:tc>
        <w:tc>
          <w:tcPr>
            <w:tcW w:type="dxa" w:w="1020"/>
            <w:tcMar>
              <w:top w:w="80" w:type="dxa"/>
              <w:left w:w="80" w:type="dxa"/>
              <w:bottom w:w="80" w:type="dxa"/>
              <w:right w:w="80" w:type="dxa"/>
            </w:tcMar>
          </w:tcPr>
          <w:p>
            <w:pPr>
              <w:spacing w:after="60" w:line="240" w:lineRule="auto"/>
            </w:pPr>
            <w:r>
              <w:rPr>
                <w:b w:val="0"/>
                <w:i w:val="0"/>
                <w:sz w:val="19"/>
              </w:rPr>
              <w:t>+1.4783</w:t>
            </w:r>
          </w:p>
        </w:tc>
        <w:tc>
          <w:tcPr>
            <w:tcW w:type="dxa" w:w="1928"/>
            <w:tcMar>
              <w:top w:w="80" w:type="dxa"/>
              <w:left w:w="80" w:type="dxa"/>
              <w:bottom w:w="80" w:type="dxa"/>
              <w:right w:w="80" w:type="dxa"/>
            </w:tcMar>
          </w:tcPr>
          <w:p>
            <w:pPr>
              <w:spacing w:after="60" w:line="240" w:lineRule="auto"/>
            </w:pPr>
            <w:r>
              <w:rPr>
                <w:b w:val="0"/>
                <w:i w:val="0"/>
                <w:sz w:val="19"/>
              </w:rPr>
              <w:t>[-0.2853, +0.3481]</w:t>
            </w:r>
          </w:p>
        </w:tc>
        <w:tc>
          <w:tcPr>
            <w:tcW w:type="dxa" w:w="1417"/>
            <w:tcMar>
              <w:top w:w="80" w:type="dxa"/>
              <w:left w:w="80" w:type="dxa"/>
              <w:bottom w:w="80" w:type="dxa"/>
              <w:right w:w="80" w:type="dxa"/>
            </w:tcMar>
          </w:tcPr>
          <w:p>
            <w:pPr>
              <w:spacing w:after="60" w:line="240" w:lineRule="auto"/>
            </w:pPr>
            <w:r>
              <w:rPr>
                <w:b w:val="0"/>
                <w:i w:val="0"/>
                <w:sz w:val="19"/>
              </w:rPr>
              <w:t>0.34814</w:t>
            </w:r>
          </w:p>
        </w:tc>
        <w:tc>
          <w:tcPr>
            <w:tcW w:type="dxa" w:w="1191"/>
            <w:tcMar>
              <w:top w:w="80" w:type="dxa"/>
              <w:left w:w="80" w:type="dxa"/>
              <w:bottom w:w="80" w:type="dxa"/>
              <w:right w:w="80" w:type="dxa"/>
            </w:tcMar>
          </w:tcPr>
          <w:p>
            <w:pPr>
              <w:spacing w:after="60" w:line="240" w:lineRule="auto"/>
            </w:pPr>
            <w:r>
              <w:rPr>
                <w:b w:val="0"/>
                <w:i w:val="0"/>
                <w:sz w:val="19"/>
              </w:rPr>
              <w:t>4.25×</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E_filion_table2_overlap_with_subramanian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20</w:t>
            </w:r>
          </w:p>
        </w:tc>
        <w:tc>
          <w:tcPr>
            <w:tcW w:type="dxa" w:w="1020"/>
            <w:tcMar>
              <w:top w:w="80" w:type="dxa"/>
              <w:left w:w="80" w:type="dxa"/>
              <w:bottom w:w="80" w:type="dxa"/>
              <w:right w:w="80" w:type="dxa"/>
            </w:tcMar>
          </w:tcPr>
          <w:p>
            <w:pPr>
              <w:spacing w:after="60" w:line="240" w:lineRule="auto"/>
            </w:pPr>
            <w:r>
              <w:rPr>
                <w:b w:val="0"/>
                <w:i w:val="0"/>
                <w:sz w:val="19"/>
              </w:rPr>
              <w:t>+0.8932</w:t>
            </w:r>
          </w:p>
        </w:tc>
        <w:tc>
          <w:tcPr>
            <w:tcW w:type="dxa" w:w="1928"/>
            <w:tcMar>
              <w:top w:w="80" w:type="dxa"/>
              <w:left w:w="80" w:type="dxa"/>
              <w:bottom w:w="80" w:type="dxa"/>
              <w:right w:w="80" w:type="dxa"/>
            </w:tcMar>
          </w:tcPr>
          <w:p>
            <w:pPr>
              <w:spacing w:after="60" w:line="240" w:lineRule="auto"/>
            </w:pPr>
            <w:r>
              <w:rPr>
                <w:b w:val="0"/>
                <w:i w:val="0"/>
                <w:sz w:val="19"/>
              </w:rPr>
              <w:t>[-0.1399, +0.0978]</w:t>
            </w:r>
          </w:p>
        </w:tc>
        <w:tc>
          <w:tcPr>
            <w:tcW w:type="dxa" w:w="1417"/>
            <w:tcMar>
              <w:top w:w="80" w:type="dxa"/>
              <w:left w:w="80" w:type="dxa"/>
              <w:bottom w:w="80" w:type="dxa"/>
              <w:right w:w="80" w:type="dxa"/>
            </w:tcMar>
          </w:tcPr>
          <w:p>
            <w:pPr>
              <w:spacing w:after="60" w:line="240" w:lineRule="auto"/>
            </w:pPr>
            <w:r>
              <w:rPr>
                <w:b w:val="0"/>
                <w:i w:val="0"/>
                <w:sz w:val="19"/>
              </w:rPr>
              <w:t>0.0978</w:t>
            </w:r>
          </w:p>
        </w:tc>
        <w:tc>
          <w:tcPr>
            <w:tcW w:type="dxa" w:w="1191"/>
            <w:tcMar>
              <w:top w:w="80" w:type="dxa"/>
              <w:left w:w="80" w:type="dxa"/>
              <w:bottom w:w="80" w:type="dxa"/>
              <w:right w:w="80" w:type="dxa"/>
            </w:tcMar>
          </w:tcPr>
          <w:p>
            <w:pPr>
              <w:spacing w:after="60" w:line="240" w:lineRule="auto"/>
            </w:pPr>
            <w:r>
              <w:rPr>
                <w:b w:val="0"/>
                <w:i w:val="0"/>
                <w:sz w:val="19"/>
              </w:rPr>
              <w:t>9.13×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E_filion_table2_overlap_with_subramanian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18</w:t>
            </w:r>
          </w:p>
        </w:tc>
        <w:tc>
          <w:tcPr>
            <w:tcW w:type="dxa" w:w="1020"/>
            <w:tcMar>
              <w:top w:w="80" w:type="dxa"/>
              <w:left w:w="80" w:type="dxa"/>
              <w:bottom w:w="80" w:type="dxa"/>
              <w:right w:w="80" w:type="dxa"/>
            </w:tcMar>
          </w:tcPr>
          <w:p>
            <w:pPr>
              <w:spacing w:after="60" w:line="240" w:lineRule="auto"/>
            </w:pPr>
            <w:r>
              <w:rPr>
                <w:b w:val="0"/>
                <w:i w:val="0"/>
                <w:sz w:val="19"/>
              </w:rPr>
              <w:t>+1.9850</w:t>
            </w:r>
          </w:p>
        </w:tc>
        <w:tc>
          <w:tcPr>
            <w:tcW w:type="dxa" w:w="1928"/>
            <w:tcMar>
              <w:top w:w="80" w:type="dxa"/>
              <w:left w:w="80" w:type="dxa"/>
              <w:bottom w:w="80" w:type="dxa"/>
              <w:right w:w="80" w:type="dxa"/>
            </w:tcMar>
          </w:tcPr>
          <w:p>
            <w:pPr>
              <w:spacing w:after="60" w:line="240" w:lineRule="auto"/>
            </w:pPr>
            <w:r>
              <w:rPr>
                <w:b w:val="0"/>
                <w:i w:val="0"/>
                <w:sz w:val="19"/>
              </w:rPr>
              <w:t>[-0.2853, +0.3481]</w:t>
            </w:r>
          </w:p>
        </w:tc>
        <w:tc>
          <w:tcPr>
            <w:tcW w:type="dxa" w:w="1417"/>
            <w:tcMar>
              <w:top w:w="80" w:type="dxa"/>
              <w:left w:w="80" w:type="dxa"/>
              <w:bottom w:w="80" w:type="dxa"/>
              <w:right w:w="80" w:type="dxa"/>
            </w:tcMar>
          </w:tcPr>
          <w:p>
            <w:pPr>
              <w:spacing w:after="60" w:line="240" w:lineRule="auto"/>
            </w:pPr>
            <w:r>
              <w:rPr>
                <w:b w:val="0"/>
                <w:i w:val="0"/>
                <w:sz w:val="19"/>
              </w:rPr>
              <w:t>0.34814</w:t>
            </w:r>
          </w:p>
        </w:tc>
        <w:tc>
          <w:tcPr>
            <w:tcW w:type="dxa" w:w="1191"/>
            <w:tcMar>
              <w:top w:w="80" w:type="dxa"/>
              <w:left w:w="80" w:type="dxa"/>
              <w:bottom w:w="80" w:type="dxa"/>
              <w:right w:w="80" w:type="dxa"/>
            </w:tcMar>
          </w:tcPr>
          <w:p>
            <w:pPr>
              <w:spacing w:after="60" w:line="240" w:lineRule="auto"/>
            </w:pPr>
            <w:r>
              <w:rPr>
                <w:b w:val="0"/>
                <w:i w:val="0"/>
                <w:sz w:val="19"/>
              </w:rPr>
              <w:t>5.70×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F_brenca_EWSR1_high_axon_guidance</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F_brenca_EWSR1_high_axon_guidance</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3</w:t>
            </w:r>
          </w:p>
        </w:tc>
        <w:tc>
          <w:tcPr>
            <w:tcW w:type="dxa" w:w="1020"/>
            <w:tcMar>
              <w:top w:w="80" w:type="dxa"/>
              <w:left w:w="80" w:type="dxa"/>
              <w:bottom w:w="80" w:type="dxa"/>
              <w:right w:w="80" w:type="dxa"/>
            </w:tcMar>
          </w:tcPr>
          <w:p>
            <w:pPr>
              <w:spacing w:after="60" w:line="240" w:lineRule="auto"/>
            </w:pPr>
            <w:r>
              <w:rPr>
                <w:b w:val="0"/>
                <w:i w:val="0"/>
                <w:sz w:val="19"/>
              </w:rPr>
              <w:t>—</w:t>
            </w:r>
          </w:p>
        </w:tc>
        <w:tc>
          <w:tcPr>
            <w:tcW w:type="dxa" w:w="1928"/>
            <w:tcMar>
              <w:top w:w="80" w:type="dxa"/>
              <w:left w:w="80" w:type="dxa"/>
              <w:bottom w:w="80" w:type="dxa"/>
              <w:right w:w="80" w:type="dxa"/>
            </w:tcMar>
          </w:tcPr>
          <w:p>
            <w:pPr>
              <w:spacing w:after="60" w:line="240" w:lineRule="auto"/>
            </w:pPr>
            <w:r>
              <w:rPr>
                <w:b w:val="0"/>
                <w:i w:val="0"/>
                <w:sz w:val="19"/>
              </w:rPr>
              <w:t>—</w:t>
            </w:r>
          </w:p>
        </w:tc>
        <w:tc>
          <w:tcPr>
            <w:tcW w:type="dxa" w:w="1417"/>
            <w:tcMar>
              <w:top w:w="80" w:type="dxa"/>
              <w:left w:w="80" w:type="dxa"/>
              <w:bottom w:w="80" w:type="dxa"/>
              <w:right w:w="80" w:type="dxa"/>
            </w:tcMar>
          </w:tcPr>
          <w:p>
            <w:pPr>
              <w:spacing w:after="60" w:line="240" w:lineRule="auto"/>
            </w:pPr>
            <w:r>
              <w:rPr>
                <w:b w:val="0"/>
                <w:i w:val="0"/>
                <w:sz w:val="19"/>
              </w:rPr>
              <w:t>—</w:t>
            </w:r>
          </w:p>
        </w:tc>
        <w:tc>
          <w:tcPr>
            <w:tcW w:type="dxa" w:w="1191"/>
            <w:tcMar>
              <w:top w:w="80" w:type="dxa"/>
              <w:left w:w="80" w:type="dxa"/>
              <w:bottom w:w="80" w:type="dxa"/>
              <w:right w:w="80" w:type="dxa"/>
            </w:tcMar>
          </w:tcPr>
          <w:p>
            <w:pPr>
              <w:spacing w:after="60" w:line="240" w:lineRule="auto"/>
            </w:pPr>
            <w:r>
              <w:rPr>
                <w:b w:val="0"/>
                <w:i w:val="0"/>
                <w:sz w:val="19"/>
              </w:rPr>
              <w:t>—</w:t>
            </w:r>
          </w:p>
        </w:tc>
        <w:tc>
          <w:tcPr>
            <w:tcW w:type="dxa" w:w="4252"/>
            <w:tcMar>
              <w:top w:w="80" w:type="dxa"/>
              <w:left w:w="80" w:type="dxa"/>
              <w:bottom w:w="80" w:type="dxa"/>
              <w:right w:w="80" w:type="dxa"/>
            </w:tcMar>
          </w:tcPr>
          <w:p>
            <w:pPr>
              <w:spacing w:after="60" w:line="240" w:lineRule="auto"/>
            </w:pPr>
            <w:r>
              <w:rPr>
                <w:b w:val="0"/>
                <w:i w:val="0"/>
                <w:sz w:val="19"/>
              </w:rPr>
              <w:t>no score (below floor)</w:t>
            </w:r>
          </w:p>
        </w:tc>
      </w:tr>
      <w:tr>
        <w:trPr>
          <w:cantSplit/>
        </w:trPr>
        <w:tc>
          <w:tcPr>
            <w:tcW w:type="dxa" w:w="2268"/>
            <w:tcMar>
              <w:top w:w="80" w:type="dxa"/>
              <w:left w:w="80" w:type="dxa"/>
              <w:bottom w:w="80" w:type="dxa"/>
              <w:right w:w="80" w:type="dxa"/>
            </w:tcMar>
          </w:tcPr>
          <w:p>
            <w:pPr>
              <w:spacing w:after="60" w:line="240" w:lineRule="auto"/>
            </w:pPr>
            <w:r>
              <w:rPr>
                <w:b w:val="0"/>
                <w:i w:val="0"/>
                <w:sz w:val="19"/>
              </w:rPr>
              <w:t>G_brenca_TAF15_high_axon_guidance</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10</w:t>
            </w:r>
          </w:p>
        </w:tc>
        <w:tc>
          <w:tcPr>
            <w:tcW w:type="dxa" w:w="1020"/>
            <w:tcMar>
              <w:top w:w="80" w:type="dxa"/>
              <w:left w:w="80" w:type="dxa"/>
              <w:bottom w:w="80" w:type="dxa"/>
              <w:right w:w="80" w:type="dxa"/>
            </w:tcMar>
          </w:tcPr>
          <w:p>
            <w:pPr>
              <w:spacing w:after="60" w:line="240" w:lineRule="auto"/>
            </w:pPr>
            <w:r>
              <w:rPr>
                <w:b w:val="0"/>
                <w:i w:val="0"/>
                <w:sz w:val="19"/>
              </w:rPr>
              <w:t>-0.4975</w:t>
            </w:r>
          </w:p>
        </w:tc>
        <w:tc>
          <w:tcPr>
            <w:tcW w:type="dxa" w:w="1928"/>
            <w:tcMar>
              <w:top w:w="80" w:type="dxa"/>
              <w:left w:w="80" w:type="dxa"/>
              <w:bottom w:w="80" w:type="dxa"/>
              <w:right w:w="80" w:type="dxa"/>
            </w:tcMar>
          </w:tcPr>
          <w:p>
            <w:pPr>
              <w:spacing w:after="60" w:line="240" w:lineRule="auto"/>
            </w:pPr>
            <w:r>
              <w:rPr>
                <w:b w:val="0"/>
                <w:i w:val="0"/>
                <w:sz w:val="19"/>
              </w:rPr>
              <w:t>[-0.1957, +0.1460]</w:t>
            </w:r>
          </w:p>
        </w:tc>
        <w:tc>
          <w:tcPr>
            <w:tcW w:type="dxa" w:w="1417"/>
            <w:tcMar>
              <w:top w:w="80" w:type="dxa"/>
              <w:left w:w="80" w:type="dxa"/>
              <w:bottom w:w="80" w:type="dxa"/>
              <w:right w:w="80" w:type="dxa"/>
            </w:tcMar>
          </w:tcPr>
          <w:p>
            <w:pPr>
              <w:spacing w:after="60" w:line="240" w:lineRule="auto"/>
            </w:pPr>
            <w:r>
              <w:rPr>
                <w:b w:val="0"/>
                <w:i w:val="0"/>
                <w:sz w:val="19"/>
              </w:rPr>
              <w:t>-0.19574</w:t>
            </w:r>
          </w:p>
        </w:tc>
        <w:tc>
          <w:tcPr>
            <w:tcW w:type="dxa" w:w="1191"/>
            <w:tcMar>
              <w:top w:w="80" w:type="dxa"/>
              <w:left w:w="80" w:type="dxa"/>
              <w:bottom w:w="80" w:type="dxa"/>
              <w:right w:w="80" w:type="dxa"/>
            </w:tcMar>
          </w:tcPr>
          <w:p>
            <w:pPr>
              <w:spacing w:after="60" w:line="240" w:lineRule="auto"/>
            </w:pPr>
            <w:r>
              <w:rPr>
                <w:b w:val="0"/>
                <w:i w:val="0"/>
                <w:sz w:val="19"/>
              </w:rPr>
              <w:t>2.54×</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G_brenca_TAF15_high_axon_guidance</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10</w:t>
            </w:r>
          </w:p>
        </w:tc>
        <w:tc>
          <w:tcPr>
            <w:tcW w:type="dxa" w:w="1020"/>
            <w:tcMar>
              <w:top w:w="80" w:type="dxa"/>
              <w:left w:w="80" w:type="dxa"/>
              <w:bottom w:w="80" w:type="dxa"/>
              <w:right w:w="80" w:type="dxa"/>
            </w:tcMar>
          </w:tcPr>
          <w:p>
            <w:pPr>
              <w:spacing w:after="60" w:line="240" w:lineRule="auto"/>
            </w:pPr>
            <w:r>
              <w:rPr>
                <w:b w:val="0"/>
                <w:i w:val="0"/>
                <w:sz w:val="19"/>
              </w:rPr>
              <w:t>+0.1214</w:t>
            </w:r>
          </w:p>
        </w:tc>
        <w:tc>
          <w:tcPr>
            <w:tcW w:type="dxa" w:w="1928"/>
            <w:tcMar>
              <w:top w:w="80" w:type="dxa"/>
              <w:left w:w="80" w:type="dxa"/>
              <w:bottom w:w="80" w:type="dxa"/>
              <w:right w:w="80" w:type="dxa"/>
            </w:tcMar>
          </w:tcPr>
          <w:p>
            <w:pPr>
              <w:spacing w:after="60" w:line="240" w:lineRule="auto"/>
            </w:pPr>
            <w:r>
              <w:rPr>
                <w:b w:val="0"/>
                <w:i w:val="0"/>
                <w:sz w:val="19"/>
              </w:rPr>
              <w:t>[-0.4059, +0.4600]</w:t>
            </w:r>
          </w:p>
        </w:tc>
        <w:tc>
          <w:tcPr>
            <w:tcW w:type="dxa" w:w="1417"/>
            <w:tcMar>
              <w:top w:w="80" w:type="dxa"/>
              <w:left w:w="80" w:type="dxa"/>
              <w:bottom w:w="80" w:type="dxa"/>
              <w:right w:w="80" w:type="dxa"/>
            </w:tcMar>
          </w:tcPr>
          <w:p>
            <w:pPr>
              <w:spacing w:after="60" w:line="240" w:lineRule="auto"/>
            </w:pPr>
            <w:r>
              <w:rPr>
                <w:b w:val="0"/>
                <w:i w:val="0"/>
                <w:sz w:val="19"/>
              </w:rPr>
              <w:t>0.45998</w:t>
            </w:r>
          </w:p>
        </w:tc>
        <w:tc>
          <w:tcPr>
            <w:tcW w:type="dxa" w:w="1191"/>
            <w:tcMar>
              <w:top w:w="80" w:type="dxa"/>
              <w:left w:w="80" w:type="dxa"/>
              <w:bottom w:w="80" w:type="dxa"/>
              <w:right w:w="80" w:type="dxa"/>
            </w:tcMar>
          </w:tcPr>
          <w:p>
            <w:pPr>
              <w:spacing w:after="60" w:line="240" w:lineRule="auto"/>
            </w:pPr>
            <w:r>
              <w:rPr>
                <w:b w:val="0"/>
                <w:i w:val="0"/>
                <w:sz w:val="19"/>
              </w:rPr>
              <w:t>26%</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PPARG_adipogenesis_process_proxy</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189</w:t>
            </w:r>
          </w:p>
        </w:tc>
        <w:tc>
          <w:tcPr>
            <w:tcW w:type="dxa" w:w="1020"/>
            <w:tcMar>
              <w:top w:w="80" w:type="dxa"/>
              <w:left w:w="80" w:type="dxa"/>
              <w:bottom w:w="80" w:type="dxa"/>
              <w:right w:w="80" w:type="dxa"/>
            </w:tcMar>
          </w:tcPr>
          <w:p>
            <w:pPr>
              <w:spacing w:after="60" w:line="240" w:lineRule="auto"/>
            </w:pPr>
            <w:r>
              <w:rPr>
                <w:b w:val="0"/>
                <w:i w:val="0"/>
                <w:sz w:val="19"/>
              </w:rPr>
              <w:t>+0.0473</w:t>
            </w:r>
          </w:p>
        </w:tc>
        <w:tc>
          <w:tcPr>
            <w:tcW w:type="dxa" w:w="1928"/>
            <w:tcMar>
              <w:top w:w="80" w:type="dxa"/>
              <w:left w:w="80" w:type="dxa"/>
              <w:bottom w:w="80" w:type="dxa"/>
              <w:right w:w="80" w:type="dxa"/>
            </w:tcMar>
          </w:tcPr>
          <w:p>
            <w:pPr>
              <w:spacing w:after="60" w:line="240" w:lineRule="auto"/>
            </w:pPr>
            <w:r>
              <w:rPr>
                <w:b w:val="0"/>
                <w:i w:val="0"/>
                <w:sz w:val="19"/>
              </w:rPr>
              <w:t>[-0.0553, +0.0174]</w:t>
            </w:r>
          </w:p>
        </w:tc>
        <w:tc>
          <w:tcPr>
            <w:tcW w:type="dxa" w:w="1417"/>
            <w:tcMar>
              <w:top w:w="80" w:type="dxa"/>
              <w:left w:w="80" w:type="dxa"/>
              <w:bottom w:w="80" w:type="dxa"/>
              <w:right w:w="80" w:type="dxa"/>
            </w:tcMar>
          </w:tcPr>
          <w:p>
            <w:pPr>
              <w:spacing w:after="60" w:line="240" w:lineRule="auto"/>
            </w:pPr>
            <w:r>
              <w:rPr>
                <w:b w:val="0"/>
                <w:i w:val="0"/>
                <w:sz w:val="19"/>
              </w:rPr>
              <w:t>0.01735</w:t>
            </w:r>
          </w:p>
        </w:tc>
        <w:tc>
          <w:tcPr>
            <w:tcW w:type="dxa" w:w="1191"/>
            <w:tcMar>
              <w:top w:w="80" w:type="dxa"/>
              <w:left w:w="80" w:type="dxa"/>
              <w:bottom w:w="80" w:type="dxa"/>
              <w:right w:w="80" w:type="dxa"/>
            </w:tcMar>
          </w:tcPr>
          <w:p>
            <w:pPr>
              <w:spacing w:after="60" w:line="240" w:lineRule="auto"/>
            </w:pPr>
            <w:r>
              <w:rPr>
                <w:b w:val="0"/>
                <w:i w:val="0"/>
                <w:sz w:val="19"/>
              </w:rPr>
              <w:t>2.73×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PPARG_adipogenesis_process_proxy</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176</w:t>
            </w:r>
          </w:p>
        </w:tc>
        <w:tc>
          <w:tcPr>
            <w:tcW w:type="dxa" w:w="1020"/>
            <w:tcMar>
              <w:top w:w="80" w:type="dxa"/>
              <w:left w:w="80" w:type="dxa"/>
              <w:bottom w:w="80" w:type="dxa"/>
              <w:right w:w="80" w:type="dxa"/>
            </w:tcMar>
          </w:tcPr>
          <w:p>
            <w:pPr>
              <w:spacing w:after="60" w:line="240" w:lineRule="auto"/>
            </w:pPr>
            <w:r>
              <w:rPr>
                <w:b w:val="0"/>
                <w:i w:val="0"/>
                <w:sz w:val="19"/>
              </w:rPr>
              <w:t>+0.2183</w:t>
            </w:r>
          </w:p>
        </w:tc>
        <w:tc>
          <w:tcPr>
            <w:tcW w:type="dxa" w:w="1928"/>
            <w:tcMar>
              <w:top w:w="80" w:type="dxa"/>
              <w:left w:w="80" w:type="dxa"/>
              <w:bottom w:w="80" w:type="dxa"/>
              <w:right w:w="80" w:type="dxa"/>
            </w:tcMar>
          </w:tcPr>
          <w:p>
            <w:pPr>
              <w:spacing w:after="60" w:line="240" w:lineRule="auto"/>
            </w:pPr>
            <w:r>
              <w:rPr>
                <w:b w:val="0"/>
                <w:i w:val="0"/>
                <w:sz w:val="19"/>
              </w:rPr>
              <w:t>[-0.0665, +0.1325]</w:t>
            </w:r>
          </w:p>
        </w:tc>
        <w:tc>
          <w:tcPr>
            <w:tcW w:type="dxa" w:w="1417"/>
            <w:tcMar>
              <w:top w:w="80" w:type="dxa"/>
              <w:left w:w="80" w:type="dxa"/>
              <w:bottom w:w="80" w:type="dxa"/>
              <w:right w:w="80" w:type="dxa"/>
            </w:tcMar>
          </w:tcPr>
          <w:p>
            <w:pPr>
              <w:spacing w:after="60" w:line="240" w:lineRule="auto"/>
            </w:pPr>
            <w:r>
              <w:rPr>
                <w:b w:val="0"/>
                <w:i w:val="0"/>
                <w:sz w:val="19"/>
              </w:rPr>
              <w:t>0.13251</w:t>
            </w:r>
          </w:p>
        </w:tc>
        <w:tc>
          <w:tcPr>
            <w:tcW w:type="dxa" w:w="1191"/>
            <w:tcMar>
              <w:top w:w="80" w:type="dxa"/>
              <w:left w:w="80" w:type="dxa"/>
              <w:bottom w:w="80" w:type="dxa"/>
              <w:right w:w="80" w:type="dxa"/>
            </w:tcMar>
          </w:tcPr>
          <w:p>
            <w:pPr>
              <w:spacing w:after="60" w:line="240" w:lineRule="auto"/>
            </w:pPr>
            <w:r>
              <w:rPr>
                <w:b w:val="0"/>
                <w:i w:val="0"/>
                <w:sz w:val="19"/>
              </w:rPr>
              <w:t>1.65×</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PPARG_pparg_KO_DOWN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188</w:t>
            </w:r>
          </w:p>
        </w:tc>
        <w:tc>
          <w:tcPr>
            <w:tcW w:type="dxa" w:w="1020"/>
            <w:tcMar>
              <w:top w:w="80" w:type="dxa"/>
              <w:left w:w="80" w:type="dxa"/>
              <w:bottom w:w="80" w:type="dxa"/>
              <w:right w:w="80" w:type="dxa"/>
            </w:tcMar>
          </w:tcPr>
          <w:p>
            <w:pPr>
              <w:spacing w:after="60" w:line="240" w:lineRule="auto"/>
            </w:pPr>
            <w:r>
              <w:rPr>
                <w:b w:val="0"/>
                <w:i w:val="0"/>
                <w:sz w:val="19"/>
              </w:rPr>
              <w:t>+0.0003</w:t>
            </w:r>
          </w:p>
        </w:tc>
        <w:tc>
          <w:tcPr>
            <w:tcW w:type="dxa" w:w="1928"/>
            <w:tcMar>
              <w:top w:w="80" w:type="dxa"/>
              <w:left w:w="80" w:type="dxa"/>
              <w:bottom w:w="80" w:type="dxa"/>
              <w:right w:w="80" w:type="dxa"/>
            </w:tcMar>
          </w:tcPr>
          <w:p>
            <w:pPr>
              <w:spacing w:after="60" w:line="240" w:lineRule="auto"/>
            </w:pPr>
            <w:r>
              <w:rPr>
                <w:b w:val="0"/>
                <w:i w:val="0"/>
                <w:sz w:val="19"/>
              </w:rPr>
              <w:t>[-0.0548, +0.0173]</w:t>
            </w:r>
          </w:p>
        </w:tc>
        <w:tc>
          <w:tcPr>
            <w:tcW w:type="dxa" w:w="1417"/>
            <w:tcMar>
              <w:top w:w="80" w:type="dxa"/>
              <w:left w:w="80" w:type="dxa"/>
              <w:bottom w:w="80" w:type="dxa"/>
              <w:right w:w="80" w:type="dxa"/>
            </w:tcMar>
          </w:tcPr>
          <w:p>
            <w:pPr>
              <w:spacing w:after="60" w:line="240" w:lineRule="auto"/>
            </w:pPr>
            <w:r>
              <w:rPr>
                <w:b w:val="0"/>
                <w:i w:val="0"/>
                <w:sz w:val="19"/>
              </w:rPr>
              <w:t>0.0173</w:t>
            </w:r>
          </w:p>
        </w:tc>
        <w:tc>
          <w:tcPr>
            <w:tcW w:type="dxa" w:w="1191"/>
            <w:tcMar>
              <w:top w:w="80" w:type="dxa"/>
              <w:left w:w="80" w:type="dxa"/>
              <w:bottom w:w="80" w:type="dxa"/>
              <w:right w:w="80" w:type="dxa"/>
            </w:tcMar>
          </w:tcPr>
          <w:p>
            <w:pPr>
              <w:spacing w:after="60" w:line="240" w:lineRule="auto"/>
            </w:pPr>
            <w:r>
              <w:rPr>
                <w:b w:val="0"/>
                <w:i w:val="0"/>
                <w:sz w:val="19"/>
              </w:rPr>
              <w:t>2%</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PPARG_pparg_KO_DOWN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157</w:t>
            </w:r>
          </w:p>
        </w:tc>
        <w:tc>
          <w:tcPr>
            <w:tcW w:type="dxa" w:w="1020"/>
            <w:tcMar>
              <w:top w:w="80" w:type="dxa"/>
              <w:left w:w="80" w:type="dxa"/>
              <w:bottom w:w="80" w:type="dxa"/>
              <w:right w:w="80" w:type="dxa"/>
            </w:tcMar>
          </w:tcPr>
          <w:p>
            <w:pPr>
              <w:spacing w:after="60" w:line="240" w:lineRule="auto"/>
            </w:pPr>
            <w:r>
              <w:rPr>
                <w:b w:val="0"/>
                <w:i w:val="0"/>
                <w:sz w:val="19"/>
              </w:rPr>
              <w:t>+0.2219</w:t>
            </w:r>
          </w:p>
        </w:tc>
        <w:tc>
          <w:tcPr>
            <w:tcW w:type="dxa" w:w="1928"/>
            <w:tcMar>
              <w:top w:w="80" w:type="dxa"/>
              <w:left w:w="80" w:type="dxa"/>
              <w:bottom w:w="80" w:type="dxa"/>
              <w:right w:w="80" w:type="dxa"/>
            </w:tcMar>
          </w:tcPr>
          <w:p>
            <w:pPr>
              <w:spacing w:after="60" w:line="240" w:lineRule="auto"/>
            </w:pPr>
            <w:r>
              <w:rPr>
                <w:b w:val="0"/>
                <w:i w:val="0"/>
                <w:sz w:val="19"/>
              </w:rPr>
              <w:t>[-0.0715, +0.1383]</w:t>
            </w:r>
          </w:p>
        </w:tc>
        <w:tc>
          <w:tcPr>
            <w:tcW w:type="dxa" w:w="1417"/>
            <w:tcMar>
              <w:top w:w="80" w:type="dxa"/>
              <w:left w:w="80" w:type="dxa"/>
              <w:bottom w:w="80" w:type="dxa"/>
              <w:right w:w="80" w:type="dxa"/>
            </w:tcMar>
          </w:tcPr>
          <w:p>
            <w:pPr>
              <w:spacing w:after="60" w:line="240" w:lineRule="auto"/>
            </w:pPr>
            <w:r>
              <w:rPr>
                <w:b w:val="0"/>
                <w:i w:val="0"/>
                <w:sz w:val="19"/>
              </w:rPr>
              <w:t>0.13828</w:t>
            </w:r>
          </w:p>
        </w:tc>
        <w:tc>
          <w:tcPr>
            <w:tcW w:type="dxa" w:w="1191"/>
            <w:tcMar>
              <w:top w:w="80" w:type="dxa"/>
              <w:left w:w="80" w:type="dxa"/>
              <w:bottom w:w="80" w:type="dxa"/>
              <w:right w:w="80" w:type="dxa"/>
            </w:tcMar>
          </w:tcPr>
          <w:p>
            <w:pPr>
              <w:spacing w:after="60" w:line="240" w:lineRule="auto"/>
            </w:pPr>
            <w:r>
              <w:rPr>
                <w:b w:val="0"/>
                <w:i w:val="0"/>
                <w:sz w:val="19"/>
              </w:rPr>
              <w:t>1.60×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PPARG_pparg_KO_UP_FALSIFIER</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231</w:t>
            </w:r>
          </w:p>
        </w:tc>
        <w:tc>
          <w:tcPr>
            <w:tcW w:type="dxa" w:w="1020"/>
            <w:tcMar>
              <w:top w:w="80" w:type="dxa"/>
              <w:left w:w="80" w:type="dxa"/>
              <w:bottom w:w="80" w:type="dxa"/>
              <w:right w:w="80" w:type="dxa"/>
            </w:tcMar>
          </w:tcPr>
          <w:p>
            <w:pPr>
              <w:spacing w:after="60" w:line="240" w:lineRule="auto"/>
            </w:pPr>
            <w:r>
              <w:rPr>
                <w:b w:val="0"/>
                <w:i w:val="0"/>
                <w:sz w:val="19"/>
              </w:rPr>
              <w:t>-0.0536</w:t>
            </w:r>
          </w:p>
        </w:tc>
        <w:tc>
          <w:tcPr>
            <w:tcW w:type="dxa" w:w="1928"/>
            <w:tcMar>
              <w:top w:w="80" w:type="dxa"/>
              <w:left w:w="80" w:type="dxa"/>
              <w:bottom w:w="80" w:type="dxa"/>
              <w:right w:w="80" w:type="dxa"/>
            </w:tcMar>
          </w:tcPr>
          <w:p>
            <w:pPr>
              <w:spacing w:after="60" w:line="240" w:lineRule="auto"/>
            </w:pPr>
            <w:r>
              <w:rPr>
                <w:b w:val="0"/>
                <w:i w:val="0"/>
                <w:sz w:val="19"/>
              </w:rPr>
              <w:t>[-0.0527, +0.0143]</w:t>
            </w:r>
          </w:p>
        </w:tc>
        <w:tc>
          <w:tcPr>
            <w:tcW w:type="dxa" w:w="1417"/>
            <w:tcMar>
              <w:top w:w="80" w:type="dxa"/>
              <w:left w:w="80" w:type="dxa"/>
              <w:bottom w:w="80" w:type="dxa"/>
              <w:right w:w="80" w:type="dxa"/>
            </w:tcMar>
          </w:tcPr>
          <w:p>
            <w:pPr>
              <w:spacing w:after="60" w:line="240" w:lineRule="auto"/>
            </w:pPr>
            <w:r>
              <w:rPr>
                <w:b w:val="0"/>
                <w:i w:val="0"/>
                <w:sz w:val="19"/>
              </w:rPr>
              <w:t>-0.05266</w:t>
            </w:r>
          </w:p>
        </w:tc>
        <w:tc>
          <w:tcPr>
            <w:tcW w:type="dxa" w:w="1191"/>
            <w:tcMar>
              <w:top w:w="80" w:type="dxa"/>
              <w:left w:w="80" w:type="dxa"/>
              <w:bottom w:w="80" w:type="dxa"/>
              <w:right w:w="80" w:type="dxa"/>
            </w:tcMar>
          </w:tcPr>
          <w:p>
            <w:pPr>
              <w:spacing w:after="60" w:line="240" w:lineRule="auto"/>
            </w:pPr>
            <w:r>
              <w:rPr>
                <w:b w:val="0"/>
                <w:i w:val="0"/>
                <w:sz w:val="19"/>
              </w:rPr>
              <w:t>1.02×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PPARG_pparg_KO_UP_FALSIFIER</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196</w:t>
            </w:r>
          </w:p>
        </w:tc>
        <w:tc>
          <w:tcPr>
            <w:tcW w:type="dxa" w:w="1020"/>
            <w:tcMar>
              <w:top w:w="80" w:type="dxa"/>
              <w:left w:w="80" w:type="dxa"/>
              <w:bottom w:w="80" w:type="dxa"/>
              <w:right w:w="80" w:type="dxa"/>
            </w:tcMar>
          </w:tcPr>
          <w:p>
            <w:pPr>
              <w:spacing w:after="60" w:line="240" w:lineRule="auto"/>
            </w:pPr>
            <w:r>
              <w:rPr>
                <w:b w:val="0"/>
                <w:i w:val="0"/>
                <w:sz w:val="19"/>
              </w:rPr>
              <w:t>-0.1118</w:t>
            </w:r>
          </w:p>
        </w:tc>
        <w:tc>
          <w:tcPr>
            <w:tcW w:type="dxa" w:w="1928"/>
            <w:tcMar>
              <w:top w:w="80" w:type="dxa"/>
              <w:left w:w="80" w:type="dxa"/>
              <w:bottom w:w="80" w:type="dxa"/>
              <w:right w:w="80" w:type="dxa"/>
            </w:tcMar>
          </w:tcPr>
          <w:p>
            <w:pPr>
              <w:spacing w:after="60" w:line="240" w:lineRule="auto"/>
            </w:pPr>
            <w:r>
              <w:rPr>
                <w:b w:val="0"/>
                <w:i w:val="0"/>
                <w:sz w:val="19"/>
              </w:rPr>
              <w:t>[-0.0612, +0.1309]</w:t>
            </w:r>
          </w:p>
        </w:tc>
        <w:tc>
          <w:tcPr>
            <w:tcW w:type="dxa" w:w="1417"/>
            <w:tcMar>
              <w:top w:w="80" w:type="dxa"/>
              <w:left w:w="80" w:type="dxa"/>
              <w:bottom w:w="80" w:type="dxa"/>
              <w:right w:w="80" w:type="dxa"/>
            </w:tcMar>
          </w:tcPr>
          <w:p>
            <w:pPr>
              <w:spacing w:after="60" w:line="240" w:lineRule="auto"/>
            </w:pPr>
            <w:r>
              <w:rPr>
                <w:b w:val="0"/>
                <w:i w:val="0"/>
                <w:sz w:val="19"/>
              </w:rPr>
              <w:t>-0.06123</w:t>
            </w:r>
          </w:p>
        </w:tc>
        <w:tc>
          <w:tcPr>
            <w:tcW w:type="dxa" w:w="1191"/>
            <w:tcMar>
              <w:top w:w="80" w:type="dxa"/>
              <w:left w:w="80" w:type="dxa"/>
              <w:bottom w:w="80" w:type="dxa"/>
              <w:right w:w="80" w:type="dxa"/>
            </w:tcMar>
          </w:tcPr>
          <w:p>
            <w:pPr>
              <w:spacing w:after="60" w:line="240" w:lineRule="auto"/>
            </w:pPr>
            <w:r>
              <w:rPr>
                <w:b w:val="0"/>
                <w:i w:val="0"/>
                <w:sz w:val="19"/>
              </w:rPr>
              <w:t>1.83×</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PPARG_pparg_OE_UP</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250</w:t>
            </w:r>
          </w:p>
        </w:tc>
        <w:tc>
          <w:tcPr>
            <w:tcW w:type="dxa" w:w="1020"/>
            <w:tcMar>
              <w:top w:w="80" w:type="dxa"/>
              <w:left w:w="80" w:type="dxa"/>
              <w:bottom w:w="80" w:type="dxa"/>
              <w:right w:w="80" w:type="dxa"/>
            </w:tcMar>
          </w:tcPr>
          <w:p>
            <w:pPr>
              <w:spacing w:after="60" w:line="240" w:lineRule="auto"/>
            </w:pPr>
            <w:r>
              <w:rPr>
                <w:b w:val="0"/>
                <w:i w:val="0"/>
                <w:sz w:val="19"/>
              </w:rPr>
              <w:t>-0.0238</w:t>
            </w:r>
          </w:p>
        </w:tc>
        <w:tc>
          <w:tcPr>
            <w:tcW w:type="dxa" w:w="1928"/>
            <w:tcMar>
              <w:top w:w="80" w:type="dxa"/>
              <w:left w:w="80" w:type="dxa"/>
              <w:bottom w:w="80" w:type="dxa"/>
              <w:right w:w="80" w:type="dxa"/>
            </w:tcMar>
          </w:tcPr>
          <w:p>
            <w:pPr>
              <w:spacing w:after="60" w:line="240" w:lineRule="auto"/>
            </w:pPr>
            <w:r>
              <w:rPr>
                <w:b w:val="0"/>
                <w:i w:val="0"/>
                <w:sz w:val="19"/>
              </w:rPr>
              <w:t>[-0.0507, +0.0122]</w:t>
            </w:r>
          </w:p>
        </w:tc>
        <w:tc>
          <w:tcPr>
            <w:tcW w:type="dxa" w:w="1417"/>
            <w:tcMar>
              <w:top w:w="80" w:type="dxa"/>
              <w:left w:w="80" w:type="dxa"/>
              <w:bottom w:w="80" w:type="dxa"/>
              <w:right w:w="80" w:type="dxa"/>
            </w:tcMar>
          </w:tcPr>
          <w:p>
            <w:pPr>
              <w:spacing w:after="60" w:line="240" w:lineRule="auto"/>
            </w:pPr>
            <w:r>
              <w:rPr>
                <w:b w:val="0"/>
                <w:i w:val="0"/>
                <w:sz w:val="19"/>
              </w:rPr>
              <w:t>-0.05069</w:t>
            </w:r>
          </w:p>
        </w:tc>
        <w:tc>
          <w:tcPr>
            <w:tcW w:type="dxa" w:w="1191"/>
            <w:tcMar>
              <w:top w:w="80" w:type="dxa"/>
              <w:left w:w="80" w:type="dxa"/>
              <w:bottom w:w="80" w:type="dxa"/>
              <w:right w:w="80" w:type="dxa"/>
            </w:tcMar>
          </w:tcPr>
          <w:p>
            <w:pPr>
              <w:spacing w:after="60" w:line="240" w:lineRule="auto"/>
            </w:pPr>
            <w:r>
              <w:rPr>
                <w:b w:val="0"/>
                <w:i w:val="0"/>
                <w:sz w:val="19"/>
              </w:rPr>
              <w:t>47%</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PPARG_pparg_OE_UP</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230</w:t>
            </w:r>
          </w:p>
        </w:tc>
        <w:tc>
          <w:tcPr>
            <w:tcW w:type="dxa" w:w="1020"/>
            <w:tcMar>
              <w:top w:w="80" w:type="dxa"/>
              <w:left w:w="80" w:type="dxa"/>
              <w:bottom w:w="80" w:type="dxa"/>
              <w:right w:w="80" w:type="dxa"/>
            </w:tcMar>
          </w:tcPr>
          <w:p>
            <w:pPr>
              <w:spacing w:after="60" w:line="240" w:lineRule="auto"/>
            </w:pPr>
            <w:r>
              <w:rPr>
                <w:b w:val="0"/>
                <w:i w:val="0"/>
                <w:sz w:val="19"/>
              </w:rPr>
              <w:t>-0.0020</w:t>
            </w:r>
          </w:p>
        </w:tc>
        <w:tc>
          <w:tcPr>
            <w:tcW w:type="dxa" w:w="1928"/>
            <w:tcMar>
              <w:top w:w="80" w:type="dxa"/>
              <w:left w:w="80" w:type="dxa"/>
              <w:bottom w:w="80" w:type="dxa"/>
              <w:right w:w="80" w:type="dxa"/>
            </w:tcMar>
          </w:tcPr>
          <w:p>
            <w:pPr>
              <w:spacing w:after="60" w:line="240" w:lineRule="auto"/>
            </w:pPr>
            <w:r>
              <w:rPr>
                <w:b w:val="0"/>
                <w:i w:val="0"/>
                <w:sz w:val="19"/>
              </w:rPr>
              <w:t>[-0.0505, +0.1206]</w:t>
            </w:r>
          </w:p>
        </w:tc>
        <w:tc>
          <w:tcPr>
            <w:tcW w:type="dxa" w:w="1417"/>
            <w:tcMar>
              <w:top w:w="80" w:type="dxa"/>
              <w:left w:w="80" w:type="dxa"/>
              <w:bottom w:w="80" w:type="dxa"/>
              <w:right w:w="80" w:type="dxa"/>
            </w:tcMar>
          </w:tcPr>
          <w:p>
            <w:pPr>
              <w:spacing w:after="60" w:line="240" w:lineRule="auto"/>
            </w:pPr>
            <w:r>
              <w:rPr>
                <w:b w:val="0"/>
                <w:i w:val="0"/>
                <w:sz w:val="19"/>
              </w:rPr>
              <w:t>-0.05054</w:t>
            </w:r>
          </w:p>
        </w:tc>
        <w:tc>
          <w:tcPr>
            <w:tcW w:type="dxa" w:w="1191"/>
            <w:tcMar>
              <w:top w:w="80" w:type="dxa"/>
              <w:left w:w="80" w:type="dxa"/>
              <w:bottom w:w="80" w:type="dxa"/>
              <w:right w:w="80" w:type="dxa"/>
            </w:tcMar>
          </w:tcPr>
          <w:p>
            <w:pPr>
              <w:spacing w:after="60" w:line="240" w:lineRule="auto"/>
            </w:pPr>
            <w:r>
              <w:rPr>
                <w:b w:val="0"/>
                <w:i w:val="0"/>
                <w:sz w:val="19"/>
              </w:rPr>
              <w:t>4%</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PPARG_pparg_chip_chea</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188</w:t>
            </w:r>
          </w:p>
        </w:tc>
        <w:tc>
          <w:tcPr>
            <w:tcW w:type="dxa" w:w="1020"/>
            <w:tcMar>
              <w:top w:w="80" w:type="dxa"/>
              <w:left w:w="80" w:type="dxa"/>
              <w:bottom w:w="80" w:type="dxa"/>
              <w:right w:w="80" w:type="dxa"/>
            </w:tcMar>
          </w:tcPr>
          <w:p>
            <w:pPr>
              <w:spacing w:after="60" w:line="240" w:lineRule="auto"/>
            </w:pPr>
            <w:r>
              <w:rPr>
                <w:b w:val="0"/>
                <w:i w:val="0"/>
                <w:sz w:val="19"/>
              </w:rPr>
              <w:t>+0.0800</w:t>
            </w:r>
          </w:p>
        </w:tc>
        <w:tc>
          <w:tcPr>
            <w:tcW w:type="dxa" w:w="1928"/>
            <w:tcMar>
              <w:top w:w="80" w:type="dxa"/>
              <w:left w:w="80" w:type="dxa"/>
              <w:bottom w:w="80" w:type="dxa"/>
              <w:right w:w="80" w:type="dxa"/>
            </w:tcMar>
          </w:tcPr>
          <w:p>
            <w:pPr>
              <w:spacing w:after="60" w:line="240" w:lineRule="auto"/>
            </w:pPr>
            <w:r>
              <w:rPr>
                <w:b w:val="0"/>
                <w:i w:val="0"/>
                <w:sz w:val="19"/>
              </w:rPr>
              <w:t>[-0.0548, +0.0173]</w:t>
            </w:r>
          </w:p>
        </w:tc>
        <w:tc>
          <w:tcPr>
            <w:tcW w:type="dxa" w:w="1417"/>
            <w:tcMar>
              <w:top w:w="80" w:type="dxa"/>
              <w:left w:w="80" w:type="dxa"/>
              <w:bottom w:w="80" w:type="dxa"/>
              <w:right w:w="80" w:type="dxa"/>
            </w:tcMar>
          </w:tcPr>
          <w:p>
            <w:pPr>
              <w:spacing w:after="60" w:line="240" w:lineRule="auto"/>
            </w:pPr>
            <w:r>
              <w:rPr>
                <w:b w:val="0"/>
                <w:i w:val="0"/>
                <w:sz w:val="19"/>
              </w:rPr>
              <w:t>0.0173</w:t>
            </w:r>
          </w:p>
        </w:tc>
        <w:tc>
          <w:tcPr>
            <w:tcW w:type="dxa" w:w="1191"/>
            <w:tcMar>
              <w:top w:w="80" w:type="dxa"/>
              <w:left w:w="80" w:type="dxa"/>
              <w:bottom w:w="80" w:type="dxa"/>
              <w:right w:w="80" w:type="dxa"/>
            </w:tcMar>
          </w:tcPr>
          <w:p>
            <w:pPr>
              <w:spacing w:after="60" w:line="240" w:lineRule="auto"/>
            </w:pPr>
            <w:r>
              <w:rPr>
                <w:b w:val="0"/>
                <w:i w:val="0"/>
                <w:sz w:val="19"/>
              </w:rPr>
              <w:t>4.62×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PPARG_pparg_chip_chea</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169</w:t>
            </w:r>
          </w:p>
        </w:tc>
        <w:tc>
          <w:tcPr>
            <w:tcW w:type="dxa" w:w="1020"/>
            <w:tcMar>
              <w:top w:w="80" w:type="dxa"/>
              <w:left w:w="80" w:type="dxa"/>
              <w:bottom w:w="80" w:type="dxa"/>
              <w:right w:w="80" w:type="dxa"/>
            </w:tcMar>
          </w:tcPr>
          <w:p>
            <w:pPr>
              <w:spacing w:after="60" w:line="240" w:lineRule="auto"/>
            </w:pPr>
            <w:r>
              <w:rPr>
                <w:b w:val="0"/>
                <w:i w:val="0"/>
                <w:sz w:val="19"/>
              </w:rPr>
              <w:t>+0.2938</w:t>
            </w:r>
          </w:p>
        </w:tc>
        <w:tc>
          <w:tcPr>
            <w:tcW w:type="dxa" w:w="1928"/>
            <w:tcMar>
              <w:top w:w="80" w:type="dxa"/>
              <w:left w:w="80" w:type="dxa"/>
              <w:bottom w:w="80" w:type="dxa"/>
              <w:right w:w="80" w:type="dxa"/>
            </w:tcMar>
          </w:tcPr>
          <w:p>
            <w:pPr>
              <w:spacing w:after="60" w:line="240" w:lineRule="auto"/>
            </w:pPr>
            <w:r>
              <w:rPr>
                <w:b w:val="0"/>
                <w:i w:val="0"/>
                <w:sz w:val="19"/>
              </w:rPr>
              <w:t>[-0.0636, +0.1336]</w:t>
            </w:r>
          </w:p>
        </w:tc>
        <w:tc>
          <w:tcPr>
            <w:tcW w:type="dxa" w:w="1417"/>
            <w:tcMar>
              <w:top w:w="80" w:type="dxa"/>
              <w:left w:w="80" w:type="dxa"/>
              <w:bottom w:w="80" w:type="dxa"/>
              <w:right w:w="80" w:type="dxa"/>
            </w:tcMar>
          </w:tcPr>
          <w:p>
            <w:pPr>
              <w:spacing w:after="60" w:line="240" w:lineRule="auto"/>
            </w:pPr>
            <w:r>
              <w:rPr>
                <w:b w:val="0"/>
                <w:i w:val="0"/>
                <w:sz w:val="19"/>
              </w:rPr>
              <w:t>0.13357</w:t>
            </w:r>
          </w:p>
        </w:tc>
        <w:tc>
          <w:tcPr>
            <w:tcW w:type="dxa" w:w="1191"/>
            <w:tcMar>
              <w:top w:w="80" w:type="dxa"/>
              <w:left w:w="80" w:type="dxa"/>
              <w:bottom w:w="80" w:type="dxa"/>
              <w:right w:w="80" w:type="dxa"/>
            </w:tcMar>
          </w:tcPr>
          <w:p>
            <w:pPr>
              <w:spacing w:after="60" w:line="240" w:lineRule="auto"/>
            </w:pPr>
            <w:r>
              <w:rPr>
                <w:b w:val="0"/>
                <w:i w:val="0"/>
                <w:sz w:val="19"/>
              </w:rPr>
              <w:t>2.20×</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PPARG_pparg_curated_trrust_human</w:t>
            </w:r>
          </w:p>
        </w:tc>
        <w:tc>
          <w:tcPr>
            <w:tcW w:type="dxa" w:w="1134"/>
            <w:tcMar>
              <w:top w:w="80" w:type="dxa"/>
              <w:left w:w="80" w:type="dxa"/>
              <w:bottom w:w="80" w:type="dxa"/>
              <w:right w:w="80" w:type="dxa"/>
            </w:tcMar>
          </w:tcPr>
          <w:p>
            <w:pPr>
              <w:spacing w:after="60" w:line="240" w:lineRule="auto"/>
            </w:pPr>
            <w:r>
              <w:rPr>
                <w:b w:val="0"/>
                <w:i w:val="0"/>
                <w:sz w:val="19"/>
              </w:rPr>
              <w:t>GPL6244</w:t>
            </w:r>
          </w:p>
        </w:tc>
        <w:tc>
          <w:tcPr>
            <w:tcW w:type="dxa" w:w="907"/>
            <w:tcMar>
              <w:top w:w="80" w:type="dxa"/>
              <w:left w:w="80" w:type="dxa"/>
              <w:bottom w:w="80" w:type="dxa"/>
              <w:right w:w="80" w:type="dxa"/>
            </w:tcMar>
          </w:tcPr>
          <w:p>
            <w:pPr>
              <w:spacing w:after="60" w:line="240" w:lineRule="auto"/>
            </w:pPr>
            <w:r>
              <w:rPr>
                <w:b w:val="0"/>
                <w:i w:val="0"/>
                <w:sz w:val="19"/>
              </w:rPr>
              <w:t>63</w:t>
            </w:r>
          </w:p>
        </w:tc>
        <w:tc>
          <w:tcPr>
            <w:tcW w:type="dxa" w:w="1020"/>
            <w:tcMar>
              <w:top w:w="80" w:type="dxa"/>
              <w:left w:w="80" w:type="dxa"/>
              <w:bottom w:w="80" w:type="dxa"/>
              <w:right w:w="80" w:type="dxa"/>
            </w:tcMar>
          </w:tcPr>
          <w:p>
            <w:pPr>
              <w:spacing w:after="60" w:line="240" w:lineRule="auto"/>
            </w:pPr>
            <w:r>
              <w:rPr>
                <w:b w:val="0"/>
                <w:i w:val="0"/>
                <w:sz w:val="19"/>
              </w:rPr>
              <w:t>+0.0454</w:t>
            </w:r>
          </w:p>
        </w:tc>
        <w:tc>
          <w:tcPr>
            <w:tcW w:type="dxa" w:w="1928"/>
            <w:tcMar>
              <w:top w:w="80" w:type="dxa"/>
              <w:left w:w="80" w:type="dxa"/>
              <w:bottom w:w="80" w:type="dxa"/>
              <w:right w:w="80" w:type="dxa"/>
            </w:tcMar>
          </w:tcPr>
          <w:p>
            <w:pPr>
              <w:spacing w:after="60" w:line="240" w:lineRule="auto"/>
            </w:pPr>
            <w:r>
              <w:rPr>
                <w:b w:val="0"/>
                <w:i w:val="0"/>
                <w:sz w:val="19"/>
              </w:rPr>
              <w:t>[-0.0870, +0.0445]</w:t>
            </w:r>
          </w:p>
        </w:tc>
        <w:tc>
          <w:tcPr>
            <w:tcW w:type="dxa" w:w="1417"/>
            <w:tcMar>
              <w:top w:w="80" w:type="dxa"/>
              <w:left w:w="80" w:type="dxa"/>
              <w:bottom w:w="80" w:type="dxa"/>
              <w:right w:w="80" w:type="dxa"/>
            </w:tcMar>
          </w:tcPr>
          <w:p>
            <w:pPr>
              <w:spacing w:after="60" w:line="240" w:lineRule="auto"/>
            </w:pPr>
            <w:r>
              <w:rPr>
                <w:b w:val="0"/>
                <w:i w:val="0"/>
                <w:sz w:val="19"/>
              </w:rPr>
              <w:t>0.04448</w:t>
            </w:r>
          </w:p>
        </w:tc>
        <w:tc>
          <w:tcPr>
            <w:tcW w:type="dxa" w:w="1191"/>
            <w:tcMar>
              <w:top w:w="80" w:type="dxa"/>
              <w:left w:w="80" w:type="dxa"/>
              <w:bottom w:w="80" w:type="dxa"/>
              <w:right w:w="80" w:type="dxa"/>
            </w:tcMar>
          </w:tcPr>
          <w:p>
            <w:pPr>
              <w:spacing w:after="60" w:line="240" w:lineRule="auto"/>
            </w:pPr>
            <w:r>
              <w:rPr>
                <w:b w:val="0"/>
                <w:i w:val="0"/>
                <w:sz w:val="19"/>
              </w:rPr>
              <w:t>1.02×</w:t>
            </w:r>
          </w:p>
        </w:tc>
        <w:tc>
          <w:tcPr>
            <w:tcW w:type="dxa" w:w="4252"/>
            <w:tcMar>
              <w:top w:w="80" w:type="dxa"/>
              <w:left w:w="80" w:type="dxa"/>
              <w:bottom w:w="80" w:type="dxa"/>
              <w:right w:w="80" w:type="dxa"/>
            </w:tcMar>
          </w:tcPr>
          <w:p>
            <w:pPr>
              <w:spacing w:after="60" w:line="240" w:lineRule="auto"/>
            </w:pPr>
            <w:r>
              <w:rPr>
                <w:b/>
                <w:i w:val="0"/>
                <w:sz w:val="19"/>
              </w:rPr>
              <w:t>SET-SPECIFIC</w:t>
            </w:r>
          </w:p>
        </w:tc>
      </w:tr>
      <w:tr>
        <w:trPr>
          <w:cantSplit/>
        </w:trPr>
        <w:tc>
          <w:tcPr>
            <w:tcW w:type="dxa" w:w="2268"/>
            <w:tcMar>
              <w:top w:w="80" w:type="dxa"/>
              <w:left w:w="80" w:type="dxa"/>
              <w:bottom w:w="80" w:type="dxa"/>
              <w:right w:w="80" w:type="dxa"/>
            </w:tcMar>
          </w:tcPr>
          <w:p>
            <w:pPr>
              <w:spacing w:after="60" w:line="240" w:lineRule="auto"/>
            </w:pPr>
            <w:r>
              <w:rPr>
                <w:b w:val="0"/>
                <w:i w:val="0"/>
                <w:sz w:val="19"/>
              </w:rPr>
              <w:t>PPARG_pparg_curated_trrust_human</w:t>
            </w:r>
          </w:p>
        </w:tc>
        <w:tc>
          <w:tcPr>
            <w:tcW w:type="dxa" w:w="1134"/>
            <w:tcMar>
              <w:top w:w="80" w:type="dxa"/>
              <w:left w:w="80" w:type="dxa"/>
              <w:bottom w:w="80" w:type="dxa"/>
              <w:right w:w="80" w:type="dxa"/>
            </w:tcMar>
          </w:tcPr>
          <w:p>
            <w:pPr>
              <w:spacing w:after="60" w:line="240" w:lineRule="auto"/>
            </w:pPr>
            <w:r>
              <w:rPr>
                <w:b w:val="0"/>
                <w:i w:val="0"/>
                <w:sz w:val="19"/>
              </w:rPr>
              <w:t>GPL3290</w:t>
            </w:r>
          </w:p>
        </w:tc>
        <w:tc>
          <w:tcPr>
            <w:tcW w:type="dxa" w:w="907"/>
            <w:tcMar>
              <w:top w:w="80" w:type="dxa"/>
              <w:left w:w="80" w:type="dxa"/>
              <w:bottom w:w="80" w:type="dxa"/>
              <w:right w:w="80" w:type="dxa"/>
            </w:tcMar>
          </w:tcPr>
          <w:p>
            <w:pPr>
              <w:spacing w:after="60" w:line="240" w:lineRule="auto"/>
            </w:pPr>
            <w:r>
              <w:rPr>
                <w:b w:val="0"/>
                <w:i w:val="0"/>
                <w:sz w:val="19"/>
              </w:rPr>
              <w:t>57</w:t>
            </w:r>
          </w:p>
        </w:tc>
        <w:tc>
          <w:tcPr>
            <w:tcW w:type="dxa" w:w="1020"/>
            <w:tcMar>
              <w:top w:w="80" w:type="dxa"/>
              <w:left w:w="80" w:type="dxa"/>
              <w:bottom w:w="80" w:type="dxa"/>
              <w:right w:w="80" w:type="dxa"/>
            </w:tcMar>
          </w:tcPr>
          <w:p>
            <w:pPr>
              <w:spacing w:after="60" w:line="240" w:lineRule="auto"/>
            </w:pPr>
            <w:r>
              <w:rPr>
                <w:b w:val="0"/>
                <w:i w:val="0"/>
                <w:sz w:val="19"/>
              </w:rPr>
              <w:t>+0.1647</w:t>
            </w:r>
          </w:p>
        </w:tc>
        <w:tc>
          <w:tcPr>
            <w:tcW w:type="dxa" w:w="1928"/>
            <w:tcMar>
              <w:top w:w="80" w:type="dxa"/>
              <w:left w:w="80" w:type="dxa"/>
              <w:bottom w:w="80" w:type="dxa"/>
              <w:right w:w="80" w:type="dxa"/>
            </w:tcMar>
          </w:tcPr>
          <w:p>
            <w:pPr>
              <w:spacing w:after="60" w:line="240" w:lineRule="auto"/>
            </w:pPr>
            <w:r>
              <w:rPr>
                <w:b w:val="0"/>
                <w:i w:val="0"/>
                <w:sz w:val="19"/>
              </w:rPr>
              <w:t>[-0.1374, +0.2115]</w:t>
            </w:r>
          </w:p>
        </w:tc>
        <w:tc>
          <w:tcPr>
            <w:tcW w:type="dxa" w:w="1417"/>
            <w:tcMar>
              <w:top w:w="80" w:type="dxa"/>
              <w:left w:w="80" w:type="dxa"/>
              <w:bottom w:w="80" w:type="dxa"/>
              <w:right w:w="80" w:type="dxa"/>
            </w:tcMar>
          </w:tcPr>
          <w:p>
            <w:pPr>
              <w:spacing w:after="60" w:line="240" w:lineRule="auto"/>
            </w:pPr>
            <w:r>
              <w:rPr>
                <w:b w:val="0"/>
                <w:i w:val="0"/>
                <w:sz w:val="19"/>
              </w:rPr>
              <w:t>0.21148</w:t>
            </w:r>
          </w:p>
        </w:tc>
        <w:tc>
          <w:tcPr>
            <w:tcW w:type="dxa" w:w="1191"/>
            <w:tcMar>
              <w:top w:w="80" w:type="dxa"/>
              <w:left w:w="80" w:type="dxa"/>
              <w:bottom w:w="80" w:type="dxa"/>
              <w:right w:w="80" w:type="dxa"/>
            </w:tcMar>
          </w:tcPr>
          <w:p>
            <w:pPr>
              <w:spacing w:after="60" w:line="240" w:lineRule="auto"/>
            </w:pPr>
            <w:r>
              <w:rPr>
                <w:b w:val="0"/>
                <w:i w:val="0"/>
                <w:sz w:val="19"/>
              </w:rPr>
              <w:t>78%</w:t>
            </w:r>
          </w:p>
        </w:tc>
        <w:tc>
          <w:tcPr>
            <w:tcW w:type="dxa" w:w="4252"/>
            <w:tcMar>
              <w:top w:w="80" w:type="dxa"/>
              <w:left w:w="80" w:type="dxa"/>
              <w:bottom w:w="80" w:type="dxa"/>
              <w:right w:w="80" w:type="dxa"/>
            </w:tcMar>
          </w:tcPr>
          <w:p>
            <w:pPr>
              <w:spacing w:after="60" w:line="240" w:lineRule="auto"/>
            </w:pPr>
            <w:r>
              <w:rPr>
                <w:b w:val="0"/>
                <w:i w:val="0"/>
                <w:sz w:val="19"/>
              </w:rPr>
              <w:t>not distinguishable</w:t>
            </w:r>
          </w:p>
        </w:tc>
      </w:tr>
    </w:tbl>
    <w:p>
      <w:pPr>
        <w:pStyle w:val="Heading1"/>
      </w:pPr>
      <w:r>
        <w:t>S4 · PPARγ-related gene-set expression and adipogenic overlap</w:t>
      </w:r>
    </w:p>
    <w:p>
      <w:pPr/>
      <w:r>
        <w:t>Prior studies reported high PPARG expression in EMC. This supplementary analysis concerns expression of PPARG-related gene sets; it does not directly measure receptor activity. The bounded search did not retrieve a direct measurement of that activity in EMC, which does not establish that none exists.</w:t>
      </w:r>
    </w:p>
    <w:p>
      <w:r>
        <w:rPr>
          <w:b w:val="0"/>
          <w:i w:val="0"/>
        </w:rPr>
        <w:t>Six gene sets were scored, each pinned to a verbatim Enrichr term with its species read off the term rather than assumed, each null-calibrated on its own platform.</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547"/>
        <w:gridCol w:w="3482"/>
        <w:gridCol w:w="1696"/>
        <w:gridCol w:w="3181"/>
        <w:gridCol w:w="3209"/>
      </w:tblGrid>
      <w:tr>
        <w:trPr>
          <w:cantSplit/>
          <w:tblHeader/>
        </w:trPr>
        <w:tc>
          <w:tcPr>
            <w:tcW w:type="dxa" w:w="2547"/>
            <w:tcMar>
              <w:top w:w="80" w:type="dxa"/>
              <w:left w:w="80" w:type="dxa"/>
              <w:bottom w:w="80" w:type="dxa"/>
              <w:right w:w="80" w:type="dxa"/>
            </w:tcMar>
          </w:tcPr>
          <w:p>
            <w:pPr>
              <w:keepNext/>
              <w:spacing w:after="60" w:line="240" w:lineRule="auto"/>
            </w:pPr>
            <w:r>
              <w:rPr>
                <w:b/>
                <w:i w:val="0"/>
                <w:sz w:val="19"/>
              </w:rPr>
              <w:t>arm</w:t>
            </w:r>
          </w:p>
        </w:tc>
        <w:tc>
          <w:tcPr>
            <w:tcW w:type="dxa" w:w="3482"/>
            <w:tcMar>
              <w:top w:w="80" w:type="dxa"/>
              <w:left w:w="80" w:type="dxa"/>
              <w:bottom w:w="80" w:type="dxa"/>
              <w:right w:w="80" w:type="dxa"/>
            </w:tcMar>
          </w:tcPr>
          <w:p>
            <w:pPr>
              <w:keepNext/>
              <w:spacing w:after="60" w:line="240" w:lineRule="auto"/>
            </w:pPr>
            <w:r>
              <w:rPr>
                <w:b/>
                <w:i w:val="0"/>
                <w:sz w:val="19"/>
              </w:rPr>
              <w:t>library / term</w:t>
            </w:r>
          </w:p>
        </w:tc>
        <w:tc>
          <w:tcPr>
            <w:tcW w:type="dxa" w:w="1696"/>
            <w:tcMar>
              <w:top w:w="80" w:type="dxa"/>
              <w:left w:w="80" w:type="dxa"/>
              <w:bottom w:w="80" w:type="dxa"/>
              <w:right w:w="80" w:type="dxa"/>
            </w:tcMar>
          </w:tcPr>
          <w:p>
            <w:pPr>
              <w:keepNext/>
              <w:spacing w:after="60" w:line="240" w:lineRule="auto"/>
            </w:pPr>
            <w:r>
              <w:rPr>
                <w:b/>
                <w:i w:val="0"/>
                <w:sz w:val="19"/>
              </w:rPr>
              <w:t>species</w:t>
            </w:r>
          </w:p>
        </w:tc>
        <w:tc>
          <w:tcPr>
            <w:tcW w:type="dxa" w:w="3181"/>
            <w:tcMar>
              <w:top w:w="80" w:type="dxa"/>
              <w:left w:w="80" w:type="dxa"/>
              <w:bottom w:w="80" w:type="dxa"/>
              <w:right w:w="80" w:type="dxa"/>
            </w:tcMar>
          </w:tcPr>
          <w:p>
            <w:pPr>
              <w:keepNext/>
              <w:spacing w:after="60" w:line="240" w:lineRule="auto"/>
            </w:pPr>
            <w:r>
              <w:rPr>
                <w:b/>
                <w:i w:val="0"/>
                <w:sz w:val="19"/>
              </w:rPr>
              <w:t>GPL6244</w:t>
            </w:r>
          </w:p>
        </w:tc>
        <w:tc>
          <w:tcPr>
            <w:tcW w:type="dxa" w:w="3209"/>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2547"/>
            <w:tcMar>
              <w:top w:w="80" w:type="dxa"/>
              <w:left w:w="80" w:type="dxa"/>
              <w:bottom w:w="80" w:type="dxa"/>
              <w:right w:w="80" w:type="dxa"/>
            </w:tcMar>
          </w:tcPr>
          <w:p>
            <w:pPr>
              <w:spacing w:after="60" w:line="240" w:lineRule="auto"/>
            </w:pPr>
            <w:r>
              <w:rPr>
                <w:b/>
                <w:i w:val="0"/>
                <w:sz w:val="19"/>
              </w:rPr>
              <w:t>ChEA ChIP-PET targets</w:t>
            </w:r>
            <w:r>
              <w:rPr>
                <w:b w:val="0"/>
                <w:i w:val="0"/>
                <w:sz w:val="19"/>
              </w:rPr>
              <w:t xml:space="preserve"> (191)</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ChEA_2022</w:t>
            </w:r>
            <w:r>
              <w:rPr>
                <w:b w:val="0"/>
                <w:i w:val="0"/>
                <w:sz w:val="19"/>
              </w:rPr>
              <w:t xml:space="preserve"> · PPARG 19300518 ChIP-PET 3T3-L1 Mouse</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+0.080, p_emp ≤ 0.0005 → SET-SPECIFIC UP</w:t>
            </w:r>
          </w:p>
        </w:tc>
        <w:tc>
          <w:tcPr>
            <w:tcW w:type="dxa" w:w="3209"/>
            <w:tcMar>
              <w:top w:w="80" w:type="dxa"/>
              <w:left w:w="80" w:type="dxa"/>
              <w:bottom w:w="80" w:type="dxa"/>
              <w:right w:w="80" w:type="dxa"/>
            </w:tcMar>
          </w:tcPr>
          <w:p>
            <w:pPr>
              <w:spacing w:after="60" w:line="240" w:lineRule="auto"/>
            </w:pPr>
            <w:r>
              <w:rPr>
                <w:b w:val="0"/>
                <w:i w:val="0"/>
                <w:sz w:val="19"/>
              </w:rPr>
              <w:t>+0.294, p_emp ≤ 0.0005 → SET-SPECIFIC UP</w:t>
            </w:r>
          </w:p>
        </w:tc>
      </w:tr>
      <w:tr>
        <w:trPr>
          <w:cantSplit/>
        </w:trPr>
        <w:tc>
          <w:tcPr>
            <w:tcW w:type="dxa" w:w="2547"/>
            <w:tcMar>
              <w:top w:w="80" w:type="dxa"/>
              <w:left w:w="80" w:type="dxa"/>
              <w:bottom w:w="80" w:type="dxa"/>
              <w:right w:w="80" w:type="dxa"/>
            </w:tcMar>
          </w:tcPr>
          <w:p>
            <w:pPr>
              <w:spacing w:after="60" w:line="240" w:lineRule="auto"/>
            </w:pPr>
            <w:r>
              <w:rPr>
                <w:b/>
                <w:i w:val="0"/>
                <w:sz w:val="19"/>
              </w:rPr>
              <w:t>KO_UP falsifier</w:t>
            </w:r>
            <w:r>
              <w:rPr>
                <w:b w:val="0"/>
                <w:i w:val="0"/>
                <w:sz w:val="19"/>
              </w:rPr>
              <w:t xml:space="preserve"> (246)</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TF_Perturbations…</w:t>
            </w:r>
            <w:r>
              <w:rPr>
                <w:b w:val="0"/>
                <w:i w:val="0"/>
                <w:sz w:val="19"/>
              </w:rPr>
              <w:t xml:space="preserve"> · PPARG DEFICIENCY MOUSE GSE23421 … UP</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−0.054, p_emp 0.041 → SET-SPECIFIC DOWN</w:t>
            </w:r>
          </w:p>
        </w:tc>
        <w:tc>
          <w:tcPr>
            <w:tcW w:type="dxa" w:w="3209"/>
            <w:tcMar>
              <w:top w:w="80" w:type="dxa"/>
              <w:left w:w="80" w:type="dxa"/>
              <w:bottom w:w="80" w:type="dxa"/>
              <w:right w:w="80" w:type="dxa"/>
            </w:tcMar>
          </w:tcPr>
          <w:p>
            <w:pPr>
              <w:spacing w:after="60" w:line="240" w:lineRule="auto"/>
            </w:pPr>
            <w:r>
              <w:rPr>
                <w:b w:val="0"/>
                <w:i w:val="0"/>
                <w:sz w:val="19"/>
              </w:rPr>
              <w:t>−0.112, p_emp 0.0035 → SET-SPECIFIC DOWN</w:t>
            </w:r>
          </w:p>
        </w:tc>
      </w:tr>
      <w:tr>
        <w:trPr>
          <w:cantSplit/>
        </w:trPr>
        <w:tc>
          <w:tcPr>
            <w:tcW w:type="dxa" w:w="2547"/>
            <w:tcMar>
              <w:top w:w="80" w:type="dxa"/>
              <w:left w:w="80" w:type="dxa"/>
              <w:bottom w:w="80" w:type="dxa"/>
              <w:right w:w="80" w:type="dxa"/>
            </w:tcMar>
          </w:tcPr>
          <w:p>
            <w:pPr>
              <w:spacing w:after="60" w:line="240" w:lineRule="auto"/>
            </w:pPr>
            <w:r>
              <w:rPr>
                <w:b/>
                <w:i w:val="0"/>
                <w:sz w:val="19"/>
              </w:rPr>
              <w:t>KO_DOWN</w:t>
            </w:r>
            <w:r>
              <w:rPr>
                <w:b w:val="0"/>
                <w:i w:val="0"/>
                <w:sz w:val="19"/>
              </w:rPr>
              <w:t xml:space="preserve"> (206)</w:t>
            </w:r>
          </w:p>
        </w:tc>
        <w:tc>
          <w:tcPr>
            <w:tcW w:type="dxa" w:w="3482"/>
            <w:tcMar>
              <w:top w:w="80" w:type="dxa"/>
              <w:left w:w="80" w:type="dxa"/>
              <w:bottom w:w="80" w:type="dxa"/>
              <w:right w:w="80" w:type="dxa"/>
            </w:tcMar>
          </w:tcPr>
          <w:p>
            <w:pPr>
              <w:spacing w:after="60" w:line="240" w:lineRule="auto"/>
            </w:pPr>
            <w:r>
              <w:rPr>
                <w:b w:val="0"/>
                <w:i w:val="0"/>
                <w:sz w:val="19"/>
              </w:rPr>
              <w:t>…PPARG DEFICIENCY MOUSE GSE23421 … DOWN</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+0.0003 → not distinguishable</w:t>
            </w:r>
          </w:p>
        </w:tc>
        <w:tc>
          <w:tcPr>
            <w:tcW w:type="dxa" w:w="3209"/>
            <w:tcMar>
              <w:top w:w="80" w:type="dxa"/>
              <w:left w:w="80" w:type="dxa"/>
              <w:bottom w:w="80" w:type="dxa"/>
              <w:right w:w="80" w:type="dxa"/>
            </w:tcMar>
          </w:tcPr>
          <w:p>
            <w:pPr>
              <w:spacing w:after="60" w:line="240" w:lineRule="auto"/>
            </w:pPr>
            <w:r>
              <w:rPr>
                <w:b w:val="0"/>
                <w:i w:val="0"/>
                <w:sz w:val="19"/>
              </w:rPr>
              <w:t>+0.222, p_emp ≤ 0.0005 → SET-SPECIFIC UP</w:t>
            </w:r>
          </w:p>
        </w:tc>
      </w:tr>
      <w:tr>
        <w:trPr>
          <w:cantSplit/>
        </w:trPr>
        <w:tc>
          <w:tcPr>
            <w:tcW w:type="dxa" w:w="2547"/>
            <w:tcMar>
              <w:top w:w="80" w:type="dxa"/>
              <w:left w:w="80" w:type="dxa"/>
              <w:bottom w:w="80" w:type="dxa"/>
              <w:right w:w="80" w:type="dxa"/>
            </w:tcMar>
          </w:tcPr>
          <w:p>
            <w:pPr>
              <w:spacing w:after="60" w:line="240" w:lineRule="auto"/>
            </w:pPr>
            <w:r>
              <w:rPr>
                <w:b/>
                <w:i w:val="0"/>
                <w:sz w:val="19"/>
              </w:rPr>
              <w:t>OE_UP</w:t>
            </w:r>
            <w:r>
              <w:rPr>
                <w:b w:val="0"/>
                <w:i w:val="0"/>
                <w:sz w:val="19"/>
              </w:rPr>
              <w:t xml:space="preserve"> (269)</w:t>
            </w:r>
          </w:p>
        </w:tc>
        <w:tc>
          <w:tcPr>
            <w:tcW w:type="dxa" w:w="3482"/>
            <w:tcMar>
              <w:top w:w="80" w:type="dxa"/>
              <w:left w:w="80" w:type="dxa"/>
              <w:bottom w:w="80" w:type="dxa"/>
              <w:right w:w="80" w:type="dxa"/>
            </w:tcMar>
          </w:tcPr>
          <w:p>
            <w:pPr>
              <w:spacing w:after="60" w:line="240" w:lineRule="auto"/>
            </w:pPr>
            <w:r>
              <w:rPr>
                <w:b w:val="0"/>
                <w:i w:val="0"/>
                <w:sz w:val="19"/>
              </w:rPr>
              <w:t>…PPARG OE MOUSE GSE10192 … UP</w:t>
            </w:r>
          </w:p>
        </w:tc>
        <w:tc>
          <w:tcPr>
            <w:tcW w:type="dxa" w:w="1696"/>
            <w:tcMar>
              <w:top w:w="80" w:type="dxa"/>
              <w:left w:w="80" w:type="dxa"/>
              <w:bottom w:w="80" w:type="dxa"/>
              <w:right w:w="80" w:type="dxa"/>
            </w:tcMar>
          </w:tcPr>
          <w:p>
            <w:pPr>
              <w:spacing w:after="60" w:line="240" w:lineRule="auto"/>
            </w:pPr>
            <w:r>
              <w:rPr>
                <w:b w:val="0"/>
                <w:i w:val="0"/>
                <w:sz w:val="19"/>
              </w:rPr>
              <w:t>mouse</w:t>
            </w:r>
          </w:p>
        </w:tc>
        <w:tc>
          <w:tcPr>
            <w:tcW w:type="dxa" w:w="3181"/>
            <w:tcMar>
              <w:top w:w="80" w:type="dxa"/>
              <w:left w:w="80" w:type="dxa"/>
              <w:bottom w:w="80" w:type="dxa"/>
              <w:right w:w="80" w:type="dxa"/>
            </w:tcMar>
          </w:tcPr>
          <w:p>
            <w:pPr>
              <w:spacing w:after="60" w:line="240" w:lineRule="auto"/>
            </w:pPr>
            <w:r>
              <w:rPr>
                <w:b w:val="0"/>
                <w:i w:val="0"/>
                <w:sz w:val="19"/>
              </w:rPr>
              <w:t>−0.024 → not distinguishable</w:t>
            </w:r>
          </w:p>
        </w:tc>
        <w:tc>
          <w:tcPr>
            <w:tcW w:type="dxa" w:w="3209"/>
            <w:tcMar>
              <w:top w:w="80" w:type="dxa"/>
              <w:left w:w="80" w:type="dxa"/>
              <w:bottom w:w="80" w:type="dxa"/>
              <w:right w:w="80" w:type="dxa"/>
            </w:tcMar>
          </w:tcPr>
          <w:p>
            <w:pPr>
              <w:spacing w:after="60" w:line="240" w:lineRule="auto"/>
            </w:pPr>
            <w:r>
              <w:rPr>
                <w:b w:val="0"/>
                <w:i w:val="0"/>
                <w:sz w:val="19"/>
              </w:rPr>
              <w:t>−0.002 → not distinguishable</w:t>
            </w:r>
          </w:p>
        </w:tc>
      </w:tr>
      <w:tr>
        <w:trPr>
          <w:cantSplit/>
        </w:trPr>
        <w:tc>
          <w:tcPr>
            <w:tcW w:type="dxa" w:w="2547"/>
            <w:tcMar>
              <w:top w:w="80" w:type="dxa"/>
              <w:left w:w="80" w:type="dxa"/>
              <w:bottom w:w="80" w:type="dxa"/>
              <w:right w:w="80" w:type="dxa"/>
            </w:tcMar>
          </w:tcPr>
          <w:p>
            <w:pPr>
              <w:spacing w:after="60" w:line="240" w:lineRule="auto"/>
            </w:pPr>
            <w:r>
              <w:rPr>
                <w:b/>
                <w:i w:val="0"/>
                <w:sz w:val="19"/>
              </w:rPr>
              <w:t>TRRUST, human-curated</w:t>
            </w:r>
            <w:r>
              <w:rPr>
                <w:b w:val="0"/>
                <w:i w:val="0"/>
                <w:sz w:val="19"/>
              </w:rPr>
              <w:t xml:space="preserve"> (66)</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TRRUST…2019</w:t>
            </w:r>
            <w:r>
              <w:rPr>
                <w:b w:val="0"/>
                <w:i w:val="0"/>
                <w:sz w:val="19"/>
              </w:rPr>
              <w:t xml:space="preserve"> · PPARG human</w:t>
            </w:r>
          </w:p>
        </w:tc>
        <w:tc>
          <w:tcPr>
            <w:tcW w:type="dxa" w:w="1696"/>
            <w:tcMar>
              <w:top w:w="80" w:type="dxa"/>
              <w:left w:w="80" w:type="dxa"/>
              <w:bottom w:w="80" w:type="dxa"/>
              <w:right w:w="80" w:type="dxa"/>
            </w:tcMar>
          </w:tcPr>
          <w:p>
            <w:pPr>
              <w:spacing w:after="60" w:line="240" w:lineRule="auto"/>
            </w:pPr>
            <w:r>
              <w:rPr>
                <w:b w:val="0"/>
                <w:i w:val="0"/>
                <w:sz w:val="19"/>
              </w:rPr>
              <w:t>human</w:t>
            </w:r>
          </w:p>
        </w:tc>
        <w:tc>
          <w:tcPr>
            <w:tcW w:type="dxa" w:w="3181"/>
            <w:tcMar>
              <w:top w:w="80" w:type="dxa"/>
              <w:left w:w="80" w:type="dxa"/>
              <w:bottom w:w="80" w:type="dxa"/>
              <w:right w:w="80" w:type="dxa"/>
            </w:tcMar>
          </w:tcPr>
          <w:p>
            <w:pPr>
              <w:spacing w:after="60" w:line="240" w:lineRule="auto"/>
            </w:pPr>
            <w:r>
              <w:rPr>
                <w:b w:val="0"/>
                <w:i w:val="0"/>
                <w:sz w:val="19"/>
              </w:rPr>
              <w:t>+0.0454, p_emp 0.048 → SET-SPECIFIC UP</w:t>
            </w:r>
          </w:p>
        </w:tc>
        <w:tc>
          <w:tcPr>
            <w:tcW w:type="dxa" w:w="3209"/>
            <w:tcMar>
              <w:top w:w="80" w:type="dxa"/>
              <w:left w:w="80" w:type="dxa"/>
              <w:bottom w:w="80" w:type="dxa"/>
              <w:right w:w="80" w:type="dxa"/>
            </w:tcMar>
          </w:tcPr>
          <w:p>
            <w:pPr>
              <w:spacing w:after="60" w:line="240" w:lineRule="auto"/>
            </w:pPr>
            <w:r>
              <w:rPr>
                <w:b w:val="0"/>
                <w:i w:val="0"/>
                <w:sz w:val="19"/>
              </w:rPr>
              <w:t>+0.1647 → not distinguishable</w:t>
            </w:r>
          </w:p>
        </w:tc>
      </w:tr>
      <w:tr>
        <w:trPr>
          <w:cantSplit/>
        </w:trPr>
        <w:tc>
          <w:tcPr>
            <w:tcW w:type="dxa" w:w="2547"/>
            <w:tcMar>
              <w:top w:w="80" w:type="dxa"/>
              <w:left w:w="80" w:type="dxa"/>
              <w:bottom w:w="80" w:type="dxa"/>
              <w:right w:w="80" w:type="dxa"/>
            </w:tcMar>
          </w:tcPr>
          <w:p>
            <w:pPr>
              <w:spacing w:after="60" w:line="240" w:lineRule="auto"/>
            </w:pPr>
            <w:r>
              <w:rPr>
                <w:b/>
                <w:i w:val="0"/>
                <w:sz w:val="19"/>
              </w:rPr>
              <w:t>adipogenesis process proxy</w:t>
            </w:r>
            <w:r>
              <w:rPr>
                <w:b w:val="0"/>
                <w:i w:val="0"/>
                <w:sz w:val="19"/>
              </w:rPr>
              <w:t xml:space="preserve"> (200)</w:t>
            </w:r>
          </w:p>
        </w:tc>
        <w:tc>
          <w:tcPr>
            <w:tcW w:type="dxa" w:w="3482"/>
            <w:tcMar>
              <w:top w:w="80" w:type="dxa"/>
              <w:left w:w="80" w:type="dxa"/>
              <w:bottom w:w="80" w:type="dxa"/>
              <w:right w:w="80" w:type="dxa"/>
            </w:tcMar>
          </w:tcPr>
          <w:p>
            <w:pPr>
              <w:spacing w:after="60" w:line="240" w:lineRule="auto"/>
            </w:pPr>
            <w:r>
              <w:rPr>
                <w:rFonts w:ascii="Consolas" w:hAnsi="Consolas"/>
                <w:b w:val="0"/>
                <w:i w:val="0"/>
                <w:sz w:val="19"/>
              </w:rPr>
              <w:t>MSigDB_Hallmark_2020</w:t>
            </w:r>
            <w:r>
              <w:rPr>
                <w:b w:val="0"/>
                <w:i w:val="0"/>
                <w:sz w:val="19"/>
              </w:rPr>
              <w:t xml:space="preserve"> · Adipogenesis</w:t>
            </w:r>
          </w:p>
        </w:tc>
        <w:tc>
          <w:tcPr>
            <w:tcW w:type="dxa" w:w="1696"/>
            <w:tcMar>
              <w:top w:w="80" w:type="dxa"/>
              <w:left w:w="80" w:type="dxa"/>
              <w:bottom w:w="80" w:type="dxa"/>
              <w:right w:w="80" w:type="dxa"/>
            </w:tcMar>
          </w:tcPr>
          <w:p>
            <w:pPr>
              <w:spacing w:after="60" w:line="240" w:lineRule="auto"/>
            </w:pPr>
            <w:r>
              <w:rPr>
                <w:b w:val="0"/>
                <w:i w:val="0"/>
                <w:sz w:val="19"/>
              </w:rPr>
              <w:t>unstated in the term</w:t>
            </w:r>
          </w:p>
        </w:tc>
        <w:tc>
          <w:tcPr>
            <w:tcW w:type="dxa" w:w="3181"/>
            <w:tcMar>
              <w:top w:w="80" w:type="dxa"/>
              <w:left w:w="80" w:type="dxa"/>
              <w:bottom w:w="80" w:type="dxa"/>
              <w:right w:w="80" w:type="dxa"/>
            </w:tcMar>
          </w:tcPr>
          <w:p>
            <w:pPr>
              <w:spacing w:after="60" w:line="240" w:lineRule="auto"/>
            </w:pPr>
            <w:r>
              <w:rPr>
                <w:b w:val="0"/>
                <w:i w:val="0"/>
                <w:sz w:val="19"/>
              </w:rPr>
              <w:t>+0.047, p_emp ≤ 0.0005 → SET-SPECIFIC UP</w:t>
            </w:r>
          </w:p>
        </w:tc>
        <w:tc>
          <w:tcPr>
            <w:tcW w:type="dxa" w:w="3209"/>
            <w:tcMar>
              <w:top w:w="80" w:type="dxa"/>
              <w:left w:w="80" w:type="dxa"/>
              <w:bottom w:w="80" w:type="dxa"/>
              <w:right w:w="80" w:type="dxa"/>
            </w:tcMar>
          </w:tcPr>
          <w:p>
            <w:pPr>
              <w:spacing w:after="60" w:line="240" w:lineRule="auto"/>
            </w:pPr>
            <w:r>
              <w:rPr>
                <w:b w:val="0"/>
                <w:i w:val="0"/>
                <w:sz w:val="19"/>
              </w:rPr>
              <w:t>+0.218, p_emp ≤ 0.0005 → SET-SPECIFIC UP</w:t>
            </w:r>
          </w:p>
        </w:tc>
      </w:tr>
    </w:tbl>
    <w:p>
      <w:r>
        <w:rPr>
          <w:b/>
          <w:i w:val="0"/>
        </w:rPr>
        <w:t>Why KO_DOWN and OE_UP cannot be expected to agree, measured rather than argued.</w:t>
      </w:r>
      <w:r>
        <w:rPr>
          <w:b w:val="0"/>
          <w:i w:val="0"/>
        </w:rPr>
        <w:t xml:space="preserve"> The two arms were once read as disagreeing about biology, but they share 16 genes out of 206 and 269 (Jaccard 0.035) and come from different experiments in different tissues.</w:t>
      </w:r>
    </w:p>
    <w:p>
      <w:r>
        <w:rPr>
          <w:b w:val="0"/>
          <w:i w:val="0"/>
        </w:rPr>
        <w:t>They are, for practical purposes, different gene sets, and asking them to agree was asking two nearly disjoint lists of mouse genes to score alike in human tumour tissue.</w:t>
      </w:r>
    </w:p>
    <w:p>
      <w:r>
        <w:rPr>
          <w:b w:val="0"/>
          <w:i w:val="0"/>
        </w:rPr>
        <w:t>Arithmetic control: KO_DOWN ∩ KO_UP = 0, exactly as the two arms of one knockout experiment must be.</w:t>
      </w:r>
    </w:p>
    <w:p>
      <w:r>
        <w:rPr>
          <w:b/>
          <w:i w:val="0"/>
        </w:rPr>
        <w:t>What replicates, and how strongly.</w:t>
      </w:r>
      <w:r>
        <w:rPr>
          <w:b w:val="0"/>
          <w:i w:val="0"/>
        </w:rPr>
        <w:t xml:space="preserve"> The occupancy-derived target set is set-specific up on both platforms and remains strongly significant under exact label permutation (p = 0.00033 and 0.00075).</w:t>
      </w:r>
    </w:p>
    <w:p>
      <w:r>
        <w:rPr>
          <w:b w:val="0"/>
          <w:i w:val="0"/>
        </w:rPr>
        <w:t xml:space="preserve">The KO_UP falsifier is set-specific down on both platforms under the competitive null — but </w:t>
      </w:r>
      <w:r>
        <w:rPr>
          <w:b/>
          <w:i w:val="0"/>
        </w:rPr>
        <w:t>it does not reach significance under the permutation test on either</w:t>
      </w:r>
      <w:r>
        <w:rPr>
          <w:b w:val="0"/>
          <w:i w:val="0"/>
        </w:rPr>
        <w:t xml:space="preserve"> (p = 0.362 and 0.296), and it clears its competitive threshold by only 1.02× on GPL6244.</w:t>
      </w:r>
    </w:p>
    <w:p>
      <w:r>
        <w:rPr>
          <w:b w:val="0"/>
          <w:i w:val="0"/>
        </w:rPr>
        <w:t>The falsifier half of the "two arms separating in opposite directions" pattern therefore rests on the competitive null alone, and is reported at that weight.</w:t>
      </w:r>
    </w:p>
    <w:p>
      <w:r>
        <w:rPr>
          <w:b w:val="0"/>
          <w:i w:val="0"/>
        </w:rPr>
        <w:t>Three of the six arms (KO_DOWN, OE_UP, TRRUST) were never permutation-tested at all, so their verdicts rest on the competitive null only.</w:t>
      </w:r>
    </w:p>
    <w:p>
      <w:r>
        <w:rPr>
          <w:b/>
          <w:i w:val="0"/>
        </w:rPr>
        <w:t>The ceiling is not small.</w:t>
      </w:r>
      <w:r>
        <w:rPr>
          <w:b w:val="0"/>
          <w:i w:val="0"/>
        </w:rPr>
        <w:t xml:space="preserve"> The adipogenesis process proxy is also set-specific up on both platforms and shares 44 genes with the ChEA arm (23% of the smaller set), the largest overlap in the table, and it is itself significant under permutation on both platforms.</w:t>
      </w:r>
    </w:p>
    <w:p>
      <w:pPr/>
      <w:r>
        <w:t>The reported gene-set expression patterns are consistent with overlapping PPARγ-related and adipogenic programmes. Five of the six sets are mouse-derived. The observed enrichment does not isolate receptor activity from differentiation.</w:t>
      </w:r>
    </w:p>
    <w:p>
      <w:r>
        <w:rPr>
          <w:b/>
          <w:i w:val="0"/>
        </w:rPr>
        <w:t>This says nothing about the direction of any pharmacological intervention on this axis.</w:t>
      </w:r>
    </w:p>
    <w:p>
      <w:pPr>
        <w:pStyle w:val="Heading1"/>
      </w:pPr>
      <w:r>
        <w:rPr>
          <w:b w:val="0"/>
          <w:i w:val="0"/>
        </w:rPr>
        <w:t>S5 · Robustness, stratification and sensitivity</w:t>
      </w:r>
    </w:p>
    <w:p>
      <w:r>
        <w:rPr>
          <w:b w:val="0"/>
          <w:i w:val="0"/>
        </w:rPr>
        <w:t xml:space="preserve">The stratified table below is the one that separates the three class-A genes. Read down each gene's row: </w:t>
      </w:r>
      <w:r>
        <w:rPr>
          <w:b w:val="0"/>
          <w:i/>
        </w:rPr>
        <w:t>ENO3</w:t>
      </w:r>
      <w:r>
        <w:rPr>
          <w:b w:val="0"/>
          <w:i w:val="0"/>
        </w:rPr>
        <w:t xml:space="preserve"> varies by no more than 0.011 SD across five dissimilar comparator sub-arms and is significant against each. </w:t>
      </w:r>
      <w:r>
        <w:rPr>
          <w:b w:val="0"/>
          <w:i/>
        </w:rPr>
        <w:t>SEMA3C</w:t>
      </w:r>
      <w:r>
        <w:rPr>
          <w:b w:val="0"/>
          <w:i w:val="0"/>
        </w:rPr>
        <w:t xml:space="preserve"> changes from +1.657 against low-grade fibromyxoid sarcoma to −0.645 against desmoid fibromatosis. Both contrasts are significant, in opposite directions.</w:t>
      </w:r>
    </w:p>
    <w:p>
      <w:r>
        <w:rPr>
          <w:b w:val="0"/>
          <w:i w:val="0"/>
        </w:rPr>
        <w:t xml:space="preserve">Note that the GPL3290 sub-arms have three comparators each, so </w:t>
      </w:r>
      <w:r>
        <w:rPr>
          <w:b/>
          <w:i w:val="0"/>
        </w:rPr>
        <w:t>no p below 1/286 = 0.0035 is reportable there however large the effect</w:t>
      </w:r>
      <w:r>
        <w:rPr>
          <w:b w:val="0"/>
          <w:i w:val="0"/>
        </w:rPr>
        <w:t>; a printed value of 0.003497 represents that floor. It is not a finer measurement of significance.</w:t>
      </w:r>
    </w:p>
    <w:p>
      <w:pPr/>
      <w:r>
        <w:t>The matrix panel differs between arms on GPL6244 (Δ −0.518) and little on GPL3290 (Δ +0.006). On GPL3290 none of the three gene contrasts changes by more than 3.5%. These observations describe the fitted adjustment; they do not establish that the GPL6244 changes reflect removal of confounding rather than other model or sampling effects.</w:t>
      </w:r>
    </w:p>
    <w:p>
      <w:r>
        <w:rPr>
          <w:b/>
          <w:i w:val="0"/>
        </w:rPr>
        <w:t>The adjustment is a sensitivity analysis, not a correction.</w:t>
      </w:r>
      <w:r>
        <w:rPr>
          <w:b w:val="0"/>
          <w:i w:val="0"/>
        </w:rPr>
        <w:t xml:space="preserve"> If a panel gene is itself driven by the fusion, the adjustment removes real signal. The provenance filter (main text §2.6) makes that unlikely but does not exclude it, and no adjusted number in this document is "the real effect".</w:t>
      </w:r>
    </w:p>
    <w:p>
      <w:pPr>
        <w:pStyle w:val="Heading2"/>
      </w:pPr>
      <w:r>
        <w:rPr>
          <w:b w:val="0"/>
          <w:i w:val="0"/>
        </w:rPr>
        <w:t>TABLE S3 — robustness panel (exact permutation, BH, jackknife, rank re-read)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102"/>
        <w:gridCol w:w="1687"/>
        <w:gridCol w:w="1687"/>
        <w:gridCol w:w="1687"/>
        <w:gridCol w:w="1687"/>
        <w:gridCol w:w="1687"/>
        <w:gridCol w:w="1687"/>
        <w:gridCol w:w="1890"/>
      </w:tblGrid>
      <w:tr>
        <w:trPr>
          <w:cantSplit/>
          <w:tblHeader/>
        </w:trPr>
        <w:tc>
          <w:tcPr>
            <w:tcW w:type="dxa" w:w="2102"/>
            <w:tcMar>
              <w:top w:w="80" w:type="dxa"/>
              <w:left w:w="80" w:type="dxa"/>
              <w:bottom w:w="80" w:type="dxa"/>
              <w:right w:w="80" w:type="dxa"/>
            </w:tcMar>
          </w:tcPr>
          <w:p>
            <w:pPr>
              <w:keepNext/>
              <w:spacing w:after="60" w:line="240" w:lineRule="auto"/>
            </w:pPr>
            <w:r>
              <w:rPr>
                <w:b/>
                <w:i w:val="0"/>
                <w:sz w:val="19"/>
              </w:rPr>
              <w:t>row</w:t>
            </w:r>
          </w:p>
        </w:tc>
        <w:tc>
          <w:tcPr>
            <w:tcW w:type="dxa" w:w="1687"/>
            <w:tcMar>
              <w:top w:w="80" w:type="dxa"/>
              <w:left w:w="80" w:type="dxa"/>
              <w:bottom w:w="80" w:type="dxa"/>
              <w:right w:w="80" w:type="dxa"/>
            </w:tcMar>
          </w:tcPr>
          <w:p>
            <w:pPr>
              <w:keepNext/>
              <w:spacing w:after="60" w:line="240" w:lineRule="auto"/>
            </w:pPr>
            <w:r>
              <w:rPr>
                <w:b/>
                <w:i w:val="0"/>
                <w:sz w:val="19"/>
              </w:rPr>
              <w:t>kind</w:t>
            </w:r>
          </w:p>
        </w:tc>
        <w:tc>
          <w:tcPr>
            <w:tcW w:type="dxa" w:w="1687"/>
            <w:tcMar>
              <w:top w:w="80" w:type="dxa"/>
              <w:left w:w="80" w:type="dxa"/>
              <w:bottom w:w="80" w:type="dxa"/>
              <w:right w:w="80" w:type="dxa"/>
            </w:tcMar>
          </w:tcPr>
          <w:p>
            <w:pPr>
              <w:keepNext/>
              <w:spacing w:after="60" w:line="240" w:lineRule="auto"/>
            </w:pPr>
            <w:r>
              <w:rPr>
                <w:b/>
                <w:i w:val="0"/>
                <w:sz w:val="19"/>
              </w:rPr>
              <w:t>platform</w:t>
            </w:r>
          </w:p>
        </w:tc>
        <w:tc>
          <w:tcPr>
            <w:tcW w:type="dxa" w:w="1687"/>
            <w:tcMar>
              <w:top w:w="80" w:type="dxa"/>
              <w:left w:w="80" w:type="dxa"/>
              <w:bottom w:w="80" w:type="dxa"/>
              <w:right w:w="80" w:type="dxa"/>
            </w:tcMar>
          </w:tcPr>
          <w:p>
            <w:pPr>
              <w:keepNext/>
              <w:spacing w:after="60" w:line="240" w:lineRule="auto"/>
            </w:pPr>
            <w:r>
              <w:rPr>
                <w:b/>
                <w:i w:val="0"/>
                <w:sz w:val="19"/>
              </w:rPr>
              <w:t>Δ</w:t>
            </w:r>
          </w:p>
        </w:tc>
        <w:tc>
          <w:tcPr>
            <w:tcW w:type="dxa" w:w="1687"/>
            <w:tcMar>
              <w:top w:w="80" w:type="dxa"/>
              <w:left w:w="80" w:type="dxa"/>
              <w:bottom w:w="80" w:type="dxa"/>
              <w:right w:w="80" w:type="dxa"/>
            </w:tcMar>
          </w:tcPr>
          <w:p>
            <w:pPr>
              <w:keepNext/>
              <w:spacing w:after="60" w:line="240" w:lineRule="auto"/>
            </w:pPr>
            <w:r>
              <w:rPr>
                <w:b/>
                <w:i w:val="0"/>
                <w:sz w:val="19"/>
              </w:rPr>
              <w:t>exact p</w:t>
            </w:r>
          </w:p>
        </w:tc>
        <w:tc>
          <w:tcPr>
            <w:tcW w:type="dxa" w:w="1687"/>
            <w:tcMar>
              <w:top w:w="80" w:type="dxa"/>
              <w:left w:w="80" w:type="dxa"/>
              <w:bottom w:w="80" w:type="dxa"/>
              <w:right w:w="80" w:type="dxa"/>
            </w:tcMar>
          </w:tcPr>
          <w:p>
            <w:pPr>
              <w:keepNext/>
              <w:spacing w:after="60" w:line="240" w:lineRule="auto"/>
            </w:pPr>
            <w:r>
              <w:rPr>
                <w:b/>
                <w:i w:val="0"/>
                <w:sz w:val="19"/>
              </w:rPr>
              <w:t>BH q</w:t>
            </w:r>
          </w:p>
        </w:tc>
        <w:tc>
          <w:tcPr>
            <w:tcW w:type="dxa" w:w="1687"/>
            <w:tcMar>
              <w:top w:w="80" w:type="dxa"/>
              <w:left w:w="80" w:type="dxa"/>
              <w:bottom w:w="80" w:type="dxa"/>
              <w:right w:w="80" w:type="dxa"/>
            </w:tcMar>
          </w:tcPr>
          <w:p>
            <w:pPr>
              <w:keepNext/>
              <w:spacing w:after="60" w:line="240" w:lineRule="auto"/>
            </w:pPr>
            <w:r>
              <w:rPr>
                <w:b/>
                <w:i w:val="0"/>
                <w:sz w:val="19"/>
              </w:rPr>
              <w:t>jackknife: sign holds in every fit</w:t>
            </w:r>
          </w:p>
        </w:tc>
        <w:tc>
          <w:tcPr>
            <w:tcW w:type="dxa" w:w="1890"/>
            <w:tcMar>
              <w:top w:w="80" w:type="dxa"/>
              <w:left w:w="80" w:type="dxa"/>
              <w:bottom w:w="80" w:type="dxa"/>
              <w:right w:w="80" w:type="dxa"/>
            </w:tcMar>
          </w:tcPr>
          <w:p>
            <w:pPr>
              <w:keepNext/>
              <w:spacing w:after="60" w:line="240" w:lineRule="auto"/>
            </w:pPr>
            <w:r>
              <w:rPr>
                <w:b/>
                <w:i w:val="0"/>
                <w:sz w:val="19"/>
              </w:rPr>
              <w:t>rank re-read: same sign (p)</w:t>
            </w:r>
          </w:p>
        </w:tc>
      </w:tr>
      <w:tr>
        <w:trPr>
          <w:cantSplit/>
        </w:trPr>
        <w:tc>
          <w:tcPr>
            <w:tcW w:type="dxa" w:w="2102"/>
            <w:tcMar>
              <w:top w:w="80" w:type="dxa"/>
              <w:left w:w="80" w:type="dxa"/>
              <w:bottom w:w="80" w:type="dxa"/>
              <w:right w:w="80" w:type="dxa"/>
            </w:tcMar>
          </w:tcPr>
          <w:p>
            <w:pPr>
              <w:spacing w:after="60" w:line="240" w:lineRule="auto"/>
            </w:pPr>
            <w:r>
              <w:rPr>
                <w:b w:val="0"/>
                <w:i w:val="0"/>
                <w:sz w:val="19"/>
              </w:rPr>
              <w:t>ENO3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+0.8074</w:t>
            </w:r>
          </w:p>
        </w:tc>
        <w:tc>
          <w:tcPr>
            <w:tcW w:type="dxa" w:w="1687"/>
            <w:tcMar>
              <w:top w:w="80" w:type="dxa"/>
              <w:left w:w="80" w:type="dxa"/>
              <w:bottom w:w="80" w:type="dxa"/>
              <w:right w:w="80" w:type="dxa"/>
            </w:tcMar>
          </w:tcPr>
          <w:p>
            <w:pPr>
              <w:spacing w:after="60" w:line="240" w:lineRule="auto"/>
            </w:pPr>
            <w:r>
              <w:rPr>
                <w:b w:val="0"/>
                <w:i w:val="0"/>
                <w:sz w:val="19"/>
              </w:rPr>
              <w:t>7.3e-05</w:t>
            </w:r>
          </w:p>
        </w:tc>
        <w:tc>
          <w:tcPr>
            <w:tcW w:type="dxa" w:w="1687"/>
            <w:tcMar>
              <w:top w:w="80" w:type="dxa"/>
              <w:left w:w="80" w:type="dxa"/>
              <w:bottom w:w="80" w:type="dxa"/>
              <w:right w:w="80" w:type="dxa"/>
            </w:tcMar>
          </w:tcPr>
          <w:p>
            <w:pPr>
              <w:spacing w:after="60" w:line="240" w:lineRule="auto"/>
            </w:pPr>
            <w:r>
              <w:rPr>
                <w:b w:val="0"/>
                <w:i w:val="0"/>
                <w:sz w:val="19"/>
              </w:rPr>
              <w:t>0.000438</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(4.9e-05)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+0.3071</w:t>
            </w:r>
          </w:p>
        </w:tc>
        <w:tc>
          <w:tcPr>
            <w:tcW w:type="dxa" w:w="1687"/>
            <w:tcMar>
              <w:top w:w="80" w:type="dxa"/>
              <w:left w:w="80" w:type="dxa"/>
              <w:bottom w:w="80" w:type="dxa"/>
              <w:right w:w="80" w:type="dxa"/>
            </w:tcMar>
          </w:tcPr>
          <w:p>
            <w:pPr>
              <w:spacing w:after="60" w:line="240" w:lineRule="auto"/>
            </w:pPr>
            <w:r>
              <w:rPr>
                <w:b w:val="0"/>
                <w:i w:val="0"/>
                <w:sz w:val="19"/>
              </w:rPr>
              <w:t>0.0485</w:t>
            </w:r>
          </w:p>
        </w:tc>
        <w:tc>
          <w:tcPr>
            <w:tcW w:type="dxa" w:w="1687"/>
            <w:tcMar>
              <w:top w:w="80" w:type="dxa"/>
              <w:left w:w="80" w:type="dxa"/>
              <w:bottom w:w="80" w:type="dxa"/>
              <w:right w:w="80" w:type="dxa"/>
            </w:tcMar>
          </w:tcPr>
          <w:p>
            <w:pPr>
              <w:spacing w:after="60" w:line="240" w:lineRule="auto"/>
            </w:pPr>
            <w:r>
              <w:rPr>
                <w:b w:val="0"/>
                <w:i w:val="0"/>
                <w:sz w:val="19"/>
              </w:rPr>
              <w:t>0.097</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(0.059668)</w:t>
            </w:r>
          </w:p>
        </w:tc>
      </w:tr>
      <w:tr>
        <w:trPr>
          <w:cantSplit/>
        </w:trPr>
        <w:tc>
          <w:tcPr>
            <w:tcW w:type="dxa" w:w="2102"/>
            <w:tcMar>
              <w:top w:w="80" w:type="dxa"/>
              <w:left w:w="80" w:type="dxa"/>
              <w:bottom w:w="80" w:type="dxa"/>
              <w:right w:w="80" w:type="dxa"/>
            </w:tcMar>
          </w:tcPr>
          <w:p>
            <w:pPr>
              <w:spacing w:after="60" w:line="240" w:lineRule="auto"/>
            </w:pPr>
            <w:r>
              <w:rPr>
                <w:b w:val="0"/>
                <w:i w:val="0"/>
                <w:sz w:val="19"/>
              </w:rPr>
              <w:t>SEMA3C</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+0.7298</w:t>
            </w:r>
          </w:p>
        </w:tc>
        <w:tc>
          <w:tcPr>
            <w:tcW w:type="dxa" w:w="1687"/>
            <w:tcMar>
              <w:top w:w="80" w:type="dxa"/>
              <w:left w:w="80" w:type="dxa"/>
              <w:bottom w:w="80" w:type="dxa"/>
              <w:right w:w="80" w:type="dxa"/>
            </w:tcMar>
          </w:tcPr>
          <w:p>
            <w:pPr>
              <w:spacing w:after="60" w:line="240" w:lineRule="auto"/>
            </w:pPr>
            <w:r>
              <w:rPr>
                <w:b w:val="0"/>
                <w:i w:val="0"/>
                <w:sz w:val="19"/>
              </w:rPr>
              <w:t>0.194266</w:t>
            </w:r>
          </w:p>
        </w:tc>
        <w:tc>
          <w:tcPr>
            <w:tcW w:type="dxa" w:w="1687"/>
            <w:tcMar>
              <w:top w:w="80" w:type="dxa"/>
              <w:left w:w="80" w:type="dxa"/>
              <w:bottom w:w="80" w:type="dxa"/>
              <w:right w:w="80" w:type="dxa"/>
            </w:tcMar>
          </w:tcPr>
          <w:p>
            <w:pPr>
              <w:spacing w:after="60" w:line="240" w:lineRule="auto"/>
            </w:pPr>
            <w:r>
              <w:rPr>
                <w:b w:val="0"/>
                <w:i w:val="0"/>
                <w:sz w:val="19"/>
              </w:rPr>
              <w:t>0.233119</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(0.067107)</w:t>
            </w:r>
          </w:p>
        </w:tc>
      </w:tr>
      <w:tr>
        <w:trPr>
          <w:cantSplit/>
        </w:trPr>
        <w:tc>
          <w:tcPr>
            <w:tcW w:type="dxa" w:w="2102"/>
            <w:tcMar>
              <w:top w:w="80" w:type="dxa"/>
              <w:left w:w="80" w:type="dxa"/>
              <w:bottom w:w="80" w:type="dxa"/>
              <w:right w:w="80" w:type="dxa"/>
            </w:tcMar>
          </w:tcPr>
          <w:p>
            <w:pPr>
              <w:spacing w:after="60" w:line="240" w:lineRule="auto"/>
            </w:pPr>
            <w:r>
              <w:rPr>
                <w:b w:val="0"/>
                <w:i w:val="0"/>
                <w:sz w:val="19"/>
              </w:rPr>
              <w:t>NR4A3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+0.7415</w:t>
            </w:r>
          </w:p>
        </w:tc>
        <w:tc>
          <w:tcPr>
            <w:tcW w:type="dxa" w:w="1687"/>
            <w:tcMar>
              <w:top w:w="80" w:type="dxa"/>
              <w:left w:w="80" w:type="dxa"/>
              <w:bottom w:w="80" w:type="dxa"/>
              <w:right w:w="80" w:type="dxa"/>
            </w:tcMar>
          </w:tcPr>
          <w:p>
            <w:pPr>
              <w:spacing w:after="60" w:line="240" w:lineRule="auto"/>
            </w:pPr>
            <w:r>
              <w:rPr>
                <w:b w:val="0"/>
                <w:i w:val="0"/>
                <w:sz w:val="19"/>
              </w:rPr>
              <w:t>0.000184</w:t>
            </w:r>
          </w:p>
        </w:tc>
        <w:tc>
          <w:tcPr>
            <w:tcW w:type="dxa" w:w="1687"/>
            <w:tcMar>
              <w:top w:w="80" w:type="dxa"/>
              <w:left w:w="80" w:type="dxa"/>
              <w:bottom w:w="80" w:type="dxa"/>
              <w:right w:w="80" w:type="dxa"/>
            </w:tcMar>
          </w:tcPr>
          <w:p>
            <w:pPr>
              <w:spacing w:after="60" w:line="240" w:lineRule="auto"/>
            </w:pPr>
            <w:r>
              <w:rPr>
                <w:b w:val="0"/>
                <w:i w:val="0"/>
                <w:sz w:val="19"/>
              </w:rPr>
              <w:t>0.000552</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(0.000146)</w:t>
            </w:r>
          </w:p>
        </w:tc>
      </w:tr>
      <w:tr>
        <w:trPr>
          <w:cantSplit/>
        </w:trPr>
        <w:tc>
          <w:tcPr>
            <w:tcW w:type="dxa" w:w="2102"/>
            <w:tcMar>
              <w:top w:w="80" w:type="dxa"/>
              <w:left w:w="80" w:type="dxa"/>
              <w:bottom w:w="80" w:type="dxa"/>
              <w:right w:w="80" w:type="dxa"/>
            </w:tcMar>
          </w:tcPr>
          <w:p>
            <w:pPr>
              <w:spacing w:after="60" w:line="240" w:lineRule="auto"/>
            </w:pPr>
            <w:r>
              <w:rPr>
                <w:b w:val="0"/>
                <w:i w:val="0"/>
                <w:sz w:val="19"/>
              </w:rPr>
              <w:t>PLAGL1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-0.4234</w:t>
            </w:r>
          </w:p>
        </w:tc>
        <w:tc>
          <w:tcPr>
            <w:tcW w:type="dxa" w:w="1687"/>
            <w:tcMar>
              <w:top w:w="80" w:type="dxa"/>
              <w:left w:w="80" w:type="dxa"/>
              <w:bottom w:w="80" w:type="dxa"/>
              <w:right w:w="80" w:type="dxa"/>
            </w:tcMar>
          </w:tcPr>
          <w:p>
            <w:pPr>
              <w:spacing w:after="60" w:line="240" w:lineRule="auto"/>
            </w:pPr>
            <w:r>
              <w:rPr>
                <w:b w:val="0"/>
                <w:i w:val="0"/>
                <w:sz w:val="19"/>
              </w:rPr>
              <w:t>0.082605</w:t>
            </w:r>
          </w:p>
        </w:tc>
        <w:tc>
          <w:tcPr>
            <w:tcW w:type="dxa" w:w="1687"/>
            <w:tcMar>
              <w:top w:w="80" w:type="dxa"/>
              <w:left w:w="80" w:type="dxa"/>
              <w:bottom w:w="80" w:type="dxa"/>
              <w:right w:w="80" w:type="dxa"/>
            </w:tcMar>
          </w:tcPr>
          <w:p>
            <w:pPr>
              <w:spacing w:after="60" w:line="240" w:lineRule="auto"/>
            </w:pPr>
            <w:r>
              <w:rPr>
                <w:b w:val="0"/>
                <w:i w:val="0"/>
                <w:sz w:val="19"/>
              </w:rPr>
              <w:t>0.123908</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(0.015936)</w:t>
            </w:r>
          </w:p>
        </w:tc>
      </w:tr>
      <w:tr>
        <w:trPr>
          <w:cantSplit/>
        </w:trPr>
        <w:tc>
          <w:tcPr>
            <w:tcW w:type="dxa" w:w="2102"/>
            <w:tcMar>
              <w:top w:w="80" w:type="dxa"/>
              <w:left w:w="80" w:type="dxa"/>
              <w:bottom w:w="80" w:type="dxa"/>
              <w:right w:w="80" w:type="dxa"/>
            </w:tcMar>
          </w:tcPr>
          <w:p>
            <w:pPr>
              <w:spacing w:after="60" w:line="240" w:lineRule="auto"/>
            </w:pPr>
            <w:r>
              <w:rPr>
                <w:b w:val="0"/>
                <w:i w:val="0"/>
                <w:sz w:val="19"/>
              </w:rPr>
              <w:t>SGK1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-0.1807</w:t>
            </w:r>
          </w:p>
        </w:tc>
        <w:tc>
          <w:tcPr>
            <w:tcW w:type="dxa" w:w="1687"/>
            <w:tcMar>
              <w:top w:w="80" w:type="dxa"/>
              <w:left w:w="80" w:type="dxa"/>
              <w:bottom w:w="80" w:type="dxa"/>
              <w:right w:w="80" w:type="dxa"/>
            </w:tcMar>
          </w:tcPr>
          <w:p>
            <w:pPr>
              <w:spacing w:after="60" w:line="240" w:lineRule="auto"/>
            </w:pPr>
            <w:r>
              <w:rPr>
                <w:b w:val="0"/>
                <w:i w:val="0"/>
                <w:sz w:val="19"/>
              </w:rPr>
              <w:t>0.369002</w:t>
            </w:r>
          </w:p>
        </w:tc>
        <w:tc>
          <w:tcPr>
            <w:tcW w:type="dxa" w:w="1687"/>
            <w:tcMar>
              <w:top w:w="80" w:type="dxa"/>
              <w:left w:w="80" w:type="dxa"/>
              <w:bottom w:w="80" w:type="dxa"/>
              <w:right w:w="80" w:type="dxa"/>
            </w:tcMar>
          </w:tcPr>
          <w:p>
            <w:pPr>
              <w:spacing w:after="60" w:line="240" w:lineRule="auto"/>
            </w:pPr>
            <w:r>
              <w:rPr>
                <w:b w:val="0"/>
                <w:i w:val="0"/>
                <w:sz w:val="19"/>
              </w:rPr>
              <w:t>0.369002</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(0.445976)</w:t>
            </w:r>
          </w:p>
        </w:tc>
      </w:tr>
      <w:tr>
        <w:trPr>
          <w:cantSplit/>
        </w:trPr>
        <w:tc>
          <w:tcPr>
            <w:tcW w:type="dxa" w:w="2102"/>
            <w:tcMar>
              <w:top w:w="80" w:type="dxa"/>
              <w:left w:w="80" w:type="dxa"/>
              <w:bottom w:w="80" w:type="dxa"/>
              <w:right w:w="80" w:type="dxa"/>
            </w:tcMar>
          </w:tcPr>
          <w:p>
            <w:pPr>
              <w:spacing w:after="60" w:line="240" w:lineRule="auto"/>
            </w:pPr>
            <w:r>
              <w:rPr>
                <w:b w:val="0"/>
                <w:i w:val="0"/>
                <w:sz w:val="19"/>
              </w:rPr>
              <w:t>A_plus_B_all_dna_binding</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+0.0403</w:t>
            </w:r>
          </w:p>
        </w:tc>
        <w:tc>
          <w:tcPr>
            <w:tcW w:type="dxa" w:w="1687"/>
            <w:tcMar>
              <w:top w:w="80" w:type="dxa"/>
              <w:left w:w="80" w:type="dxa"/>
              <w:bottom w:w="80" w:type="dxa"/>
              <w:right w:w="80" w:type="dxa"/>
            </w:tcMar>
          </w:tcPr>
          <w:p>
            <w:pPr>
              <w:spacing w:after="60" w:line="240" w:lineRule="auto"/>
            </w:pPr>
            <w:r>
              <w:rPr>
                <w:b w:val="0"/>
                <w:i w:val="0"/>
                <w:sz w:val="19"/>
              </w:rPr>
              <w:t>0.517577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(0.36406)</w:t>
            </w:r>
          </w:p>
        </w:tc>
      </w:tr>
      <w:tr>
        <w:trPr>
          <w:cantSplit/>
        </w:trPr>
        <w:tc>
          <w:tcPr>
            <w:tcW w:type="dxa" w:w="2102"/>
            <w:tcMar>
              <w:top w:w="80" w:type="dxa"/>
              <w:left w:w="80" w:type="dxa"/>
              <w:bottom w:w="80" w:type="dxa"/>
              <w:right w:w="80" w:type="dxa"/>
            </w:tcMar>
          </w:tcPr>
          <w:p>
            <w:pPr>
              <w:spacing w:after="60" w:line="240" w:lineRule="auto"/>
            </w:pPr>
            <w:r>
              <w:rPr>
                <w:b w:val="0"/>
                <w:i w:val="0"/>
                <w:sz w:val="19"/>
              </w:rPr>
              <w:t>B_native_nr4a3_dna_binding_targets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-0.0675</w:t>
            </w:r>
          </w:p>
        </w:tc>
        <w:tc>
          <w:tcPr>
            <w:tcW w:type="dxa" w:w="1687"/>
            <w:tcMar>
              <w:top w:w="80" w:type="dxa"/>
              <w:left w:w="80" w:type="dxa"/>
              <w:bottom w:w="80" w:type="dxa"/>
              <w:right w:w="80" w:type="dxa"/>
            </w:tcMar>
          </w:tcPr>
          <w:p>
            <w:pPr>
              <w:spacing w:after="60" w:line="240" w:lineRule="auto"/>
            </w:pPr>
            <w:r>
              <w:rPr>
                <w:b w:val="0"/>
                <w:i w:val="0"/>
                <w:sz w:val="19"/>
              </w:rPr>
              <w:t>0.225747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(0.137337)</w:t>
            </w:r>
          </w:p>
        </w:tc>
      </w:tr>
      <w:tr>
        <w:trPr>
          <w:cantSplit/>
        </w:trPr>
        <w:tc>
          <w:tcPr>
            <w:tcW w:type="dxa" w:w="2102"/>
            <w:tcMar>
              <w:top w:w="80" w:type="dxa"/>
              <w:left w:w="80" w:type="dxa"/>
              <w:bottom w:w="80" w:type="dxa"/>
              <w:right w:w="80" w:type="dxa"/>
            </w:tcMar>
          </w:tcPr>
          <w:p>
            <w:pPr>
              <w:spacing w:after="60" w:line="240" w:lineRule="auto"/>
            </w:pPr>
            <w:r>
              <w:rPr>
                <w:b w:val="0"/>
                <w:i w:val="0"/>
                <w:sz w:val="19"/>
              </w:rPr>
              <w:t>D_filion_table1_emc_vs_137_sarcomas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+1.1311</w:t>
            </w:r>
          </w:p>
        </w:tc>
        <w:tc>
          <w:tcPr>
            <w:tcW w:type="dxa" w:w="1687"/>
            <w:tcMar>
              <w:top w:w="80" w:type="dxa"/>
              <w:left w:w="80" w:type="dxa"/>
              <w:bottom w:w="80" w:type="dxa"/>
              <w:right w:w="80" w:type="dxa"/>
            </w:tcMar>
          </w:tcPr>
          <w:p>
            <w:pPr>
              <w:spacing w:after="60" w:line="240" w:lineRule="auto"/>
            </w:pPr>
            <w:r>
              <w:rPr>
                <w:b w:val="0"/>
                <w:i w:val="0"/>
                <w:sz w:val="19"/>
              </w:rPr>
              <w:t>1e-06</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(1e-06)</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PPARG_pparg_chip_chea</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+0.0800</w:t>
            </w:r>
          </w:p>
        </w:tc>
        <w:tc>
          <w:tcPr>
            <w:tcW w:type="dxa" w:w="1687"/>
            <w:tcMar>
              <w:top w:w="80" w:type="dxa"/>
              <w:left w:w="80" w:type="dxa"/>
              <w:bottom w:w="80" w:type="dxa"/>
              <w:right w:w="80" w:type="dxa"/>
            </w:tcMar>
          </w:tcPr>
          <w:p>
            <w:pPr>
              <w:spacing w:after="60" w:line="240" w:lineRule="auto"/>
            </w:pPr>
            <w:r>
              <w:rPr>
                <w:b w:val="0"/>
                <w:i w:val="0"/>
                <w:sz w:val="19"/>
              </w:rPr>
              <w:t>0.000327</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(0.001238)</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PPARG_pparg_KO_UP_FALSIFIER</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-0.0536</w:t>
            </w:r>
          </w:p>
        </w:tc>
        <w:tc>
          <w:tcPr>
            <w:tcW w:type="dxa" w:w="1687"/>
            <w:tcMar>
              <w:top w:w="80" w:type="dxa"/>
              <w:left w:w="80" w:type="dxa"/>
              <w:bottom w:w="80" w:type="dxa"/>
              <w:right w:w="80" w:type="dxa"/>
            </w:tcMar>
          </w:tcPr>
          <w:p>
            <w:pPr>
              <w:spacing w:after="60" w:line="240" w:lineRule="auto"/>
            </w:pPr>
            <w:r>
              <w:rPr>
                <w:b w:val="0"/>
                <w:i w:val="0"/>
                <w:sz w:val="19"/>
              </w:rPr>
              <w:t>0.361899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(0.222558)</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PPARG_adipogenesis_process_proxy</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GPL6244</w:t>
            </w:r>
          </w:p>
        </w:tc>
        <w:tc>
          <w:tcPr>
            <w:tcW w:type="dxa" w:w="1687"/>
            <w:tcMar>
              <w:top w:w="80" w:type="dxa"/>
              <w:left w:w="80" w:type="dxa"/>
              <w:bottom w:w="80" w:type="dxa"/>
              <w:right w:w="80" w:type="dxa"/>
            </w:tcMar>
          </w:tcPr>
          <w:p>
            <w:pPr>
              <w:spacing w:after="60" w:line="240" w:lineRule="auto"/>
            </w:pPr>
            <w:r>
              <w:rPr>
                <w:b w:val="0"/>
                <w:i w:val="0"/>
                <w:sz w:val="19"/>
              </w:rPr>
              <w:t>+0.0473</w:t>
            </w:r>
          </w:p>
        </w:tc>
        <w:tc>
          <w:tcPr>
            <w:tcW w:type="dxa" w:w="1687"/>
            <w:tcMar>
              <w:top w:w="80" w:type="dxa"/>
              <w:left w:w="80" w:type="dxa"/>
              <w:bottom w:w="80" w:type="dxa"/>
              <w:right w:w="80" w:type="dxa"/>
            </w:tcMar>
          </w:tcPr>
          <w:p>
            <w:pPr>
              <w:spacing w:after="60" w:line="240" w:lineRule="auto"/>
            </w:pPr>
            <w:r>
              <w:rPr>
                <w:b w:val="0"/>
                <w:i w:val="0"/>
                <w:sz w:val="19"/>
              </w:rPr>
              <w:t>0.034511</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(0.037594)</w:t>
            </w:r>
          </w:p>
        </w:tc>
      </w:tr>
      <w:tr>
        <w:trPr>
          <w:cantSplit/>
        </w:trPr>
        <w:tc>
          <w:tcPr>
            <w:tcW w:type="dxa" w:w="2102"/>
            <w:tcMar>
              <w:top w:w="80" w:type="dxa"/>
              <w:left w:w="80" w:type="dxa"/>
              <w:bottom w:w="80" w:type="dxa"/>
              <w:right w:w="80" w:type="dxa"/>
            </w:tcMar>
          </w:tcPr>
          <w:p>
            <w:pPr>
              <w:spacing w:after="60" w:line="240" w:lineRule="auto"/>
            </w:pPr>
            <w:r>
              <w:rPr>
                <w:b w:val="0"/>
                <w:i w:val="0"/>
                <w:sz w:val="19"/>
              </w:rPr>
              <w:t>ENO3</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+3.8113</w:t>
            </w:r>
          </w:p>
        </w:tc>
        <w:tc>
          <w:tcPr>
            <w:tcW w:type="dxa" w:w="1687"/>
            <w:tcMar>
              <w:top w:w="80" w:type="dxa"/>
              <w:left w:w="80" w:type="dxa"/>
              <w:bottom w:w="80" w:type="dxa"/>
              <w:right w:w="80" w:type="dxa"/>
            </w:tcMar>
          </w:tcPr>
          <w:p>
            <w:pPr>
              <w:spacing w:after="60" w:line="240" w:lineRule="auto"/>
            </w:pPr>
            <w:r>
              <w:rPr>
                <w:b w:val="0"/>
                <w:i w:val="0"/>
                <w:sz w:val="19"/>
              </w:rPr>
              <w:t>0.000125</w:t>
            </w:r>
          </w:p>
        </w:tc>
        <w:tc>
          <w:tcPr>
            <w:tcW w:type="dxa" w:w="1687"/>
            <w:tcMar>
              <w:top w:w="80" w:type="dxa"/>
              <w:left w:w="80" w:type="dxa"/>
              <w:bottom w:w="80" w:type="dxa"/>
              <w:right w:w="80" w:type="dxa"/>
            </w:tcMar>
          </w:tcPr>
          <w:p>
            <w:pPr>
              <w:spacing w:after="60" w:line="240" w:lineRule="auto"/>
            </w:pPr>
            <w:r>
              <w:rPr>
                <w:b w:val="0"/>
                <w:i w:val="0"/>
                <w:sz w:val="19"/>
              </w:rPr>
              <w:t>0.000625</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(0.000125)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+2.4809</w:t>
            </w:r>
          </w:p>
        </w:tc>
        <w:tc>
          <w:tcPr>
            <w:tcW w:type="dxa" w:w="1687"/>
            <w:tcMar>
              <w:top w:w="80" w:type="dxa"/>
              <w:left w:w="80" w:type="dxa"/>
              <w:bottom w:w="80" w:type="dxa"/>
              <w:right w:w="80" w:type="dxa"/>
            </w:tcMar>
          </w:tcPr>
          <w:p>
            <w:pPr>
              <w:spacing w:after="60" w:line="240" w:lineRule="auto"/>
            </w:pPr>
            <w:r>
              <w:rPr>
                <w:b w:val="0"/>
                <w:i w:val="0"/>
                <w:sz w:val="19"/>
              </w:rPr>
              <w:t>0.000333</w:t>
            </w:r>
          </w:p>
        </w:tc>
        <w:tc>
          <w:tcPr>
            <w:tcW w:type="dxa" w:w="1687"/>
            <w:tcMar>
              <w:top w:w="80" w:type="dxa"/>
              <w:left w:w="80" w:type="dxa"/>
              <w:bottom w:w="80" w:type="dxa"/>
              <w:right w:w="80" w:type="dxa"/>
            </w:tcMar>
          </w:tcPr>
          <w:p>
            <w:pPr>
              <w:spacing w:after="60" w:line="240" w:lineRule="auto"/>
            </w:pPr>
            <w:r>
              <w:rPr>
                <w:b w:val="0"/>
                <w:i w:val="0"/>
                <w:sz w:val="19"/>
              </w:rPr>
              <w:t>0.000833</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(0.000333)</w:t>
            </w:r>
          </w:p>
        </w:tc>
      </w:tr>
      <w:tr>
        <w:trPr>
          <w:cantSplit/>
        </w:trPr>
        <w:tc>
          <w:tcPr>
            <w:tcW w:type="dxa" w:w="2102"/>
            <w:tcMar>
              <w:top w:w="80" w:type="dxa"/>
              <w:left w:w="80" w:type="dxa"/>
              <w:bottom w:w="80" w:type="dxa"/>
              <w:right w:w="80" w:type="dxa"/>
            </w:tcMar>
          </w:tcPr>
          <w:p>
            <w:pPr>
              <w:spacing w:after="60" w:line="240" w:lineRule="auto"/>
            </w:pPr>
            <w:r>
              <w:rPr>
                <w:b w:val="0"/>
                <w:i w:val="0"/>
                <w:sz w:val="19"/>
              </w:rPr>
              <w:t>SEMA3C</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+0.6228</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(0.097777)</w:t>
            </w:r>
          </w:p>
        </w:tc>
      </w:tr>
      <w:tr>
        <w:trPr>
          <w:cantSplit/>
        </w:trPr>
        <w:tc>
          <w:tcPr>
            <w:tcW w:type="dxa" w:w="2102"/>
            <w:tcMar>
              <w:top w:w="80" w:type="dxa"/>
              <w:left w:w="80" w:type="dxa"/>
              <w:bottom w:w="80" w:type="dxa"/>
              <w:right w:w="80" w:type="dxa"/>
            </w:tcMar>
          </w:tcPr>
          <w:p>
            <w:pPr>
              <w:spacing w:after="60" w:line="240" w:lineRule="auto"/>
            </w:pPr>
            <w:r>
              <w:rPr>
                <w:b w:val="0"/>
                <w:i w:val="0"/>
                <w:sz w:val="19"/>
              </w:rPr>
              <w:t>PLAGL1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-2.1340</w:t>
            </w:r>
          </w:p>
        </w:tc>
        <w:tc>
          <w:tcPr>
            <w:tcW w:type="dxa" w:w="1687"/>
            <w:tcMar>
              <w:top w:w="80" w:type="dxa"/>
              <w:left w:w="80" w:type="dxa"/>
              <w:bottom w:w="80" w:type="dxa"/>
              <w:right w:w="80" w:type="dxa"/>
            </w:tcMar>
          </w:tcPr>
          <w:p>
            <w:pPr>
              <w:spacing w:after="60" w:line="240" w:lineRule="auto"/>
            </w:pPr>
            <w:r>
              <w:rPr>
                <w:b w:val="0"/>
                <w:i w:val="0"/>
                <w:sz w:val="19"/>
              </w:rPr>
              <w:t>0.002331</w:t>
            </w:r>
          </w:p>
        </w:tc>
        <w:tc>
          <w:tcPr>
            <w:tcW w:type="dxa" w:w="1687"/>
            <w:tcMar>
              <w:top w:w="80" w:type="dxa"/>
              <w:left w:w="80" w:type="dxa"/>
              <w:bottom w:w="80" w:type="dxa"/>
              <w:right w:w="80" w:type="dxa"/>
            </w:tcMar>
          </w:tcPr>
          <w:p>
            <w:pPr>
              <w:spacing w:after="60" w:line="240" w:lineRule="auto"/>
            </w:pPr>
            <w:r>
              <w:rPr>
                <w:b w:val="0"/>
                <w:i w:val="0"/>
                <w:sz w:val="19"/>
              </w:rPr>
              <w:t>0.003885</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(0.008658)</w:t>
            </w:r>
          </w:p>
        </w:tc>
      </w:tr>
      <w:tr>
        <w:trPr>
          <w:cantSplit/>
        </w:trPr>
        <w:tc>
          <w:tcPr>
            <w:tcW w:type="dxa" w:w="2102"/>
            <w:tcMar>
              <w:top w:w="80" w:type="dxa"/>
              <w:left w:w="80" w:type="dxa"/>
              <w:bottom w:w="80" w:type="dxa"/>
              <w:right w:w="80" w:type="dxa"/>
            </w:tcMar>
          </w:tcPr>
          <w:p>
            <w:pPr>
              <w:spacing w:after="60" w:line="240" w:lineRule="auto"/>
            </w:pPr>
            <w:r>
              <w:rPr>
                <w:b w:val="0"/>
                <w:i w:val="0"/>
                <w:sz w:val="19"/>
              </w:rPr>
              <w:t>SGK1</w:t>
            </w:r>
          </w:p>
        </w:tc>
        <w:tc>
          <w:tcPr>
            <w:tcW w:type="dxa" w:w="1687"/>
            <w:tcMar>
              <w:top w:w="80" w:type="dxa"/>
              <w:left w:w="80" w:type="dxa"/>
              <w:bottom w:w="80" w:type="dxa"/>
              <w:right w:w="80" w:type="dxa"/>
            </w:tcMar>
          </w:tcPr>
          <w:p>
            <w:pPr>
              <w:spacing w:after="60" w:line="240" w:lineRule="auto"/>
            </w:pPr>
            <w:r>
              <w:rPr>
                <w:b w:val="0"/>
                <w:i w:val="0"/>
                <w:sz w:val="19"/>
              </w:rPr>
              <w:t>gene</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+0.6156</w:t>
            </w:r>
          </w:p>
        </w:tc>
        <w:tc>
          <w:tcPr>
            <w:tcW w:type="dxa" w:w="1687"/>
            <w:tcMar>
              <w:top w:w="80" w:type="dxa"/>
              <w:left w:w="80" w:type="dxa"/>
              <w:bottom w:w="80" w:type="dxa"/>
              <w:right w:w="80" w:type="dxa"/>
            </w:tcMar>
          </w:tcPr>
          <w:p>
            <w:pPr>
              <w:spacing w:after="60" w:line="240" w:lineRule="auto"/>
            </w:pPr>
            <w:r>
              <w:rPr>
                <w:b w:val="0"/>
                <w:i w:val="0"/>
                <w:sz w:val="19"/>
              </w:rPr>
              <w:t>0.155844</w:t>
            </w:r>
          </w:p>
        </w:tc>
        <w:tc>
          <w:tcPr>
            <w:tcW w:type="dxa" w:w="1687"/>
            <w:tcMar>
              <w:top w:w="80" w:type="dxa"/>
              <w:left w:w="80" w:type="dxa"/>
              <w:bottom w:w="80" w:type="dxa"/>
              <w:right w:w="80" w:type="dxa"/>
            </w:tcMar>
          </w:tcPr>
          <w:p>
            <w:pPr>
              <w:spacing w:after="60" w:line="240" w:lineRule="auto"/>
            </w:pPr>
            <w:r>
              <w:rPr>
                <w:b w:val="0"/>
                <w:i w:val="0"/>
                <w:sz w:val="19"/>
              </w:rPr>
              <w:t>0.16521</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(0.257867)</w:t>
            </w:r>
          </w:p>
        </w:tc>
      </w:tr>
      <w:tr>
        <w:trPr>
          <w:cantSplit/>
        </w:trPr>
        <w:tc>
          <w:tcPr>
            <w:tcW w:type="dxa" w:w="2102"/>
            <w:tcMar>
              <w:top w:w="80" w:type="dxa"/>
              <w:left w:w="80" w:type="dxa"/>
              <w:bottom w:w="80" w:type="dxa"/>
              <w:right w:w="80" w:type="dxa"/>
            </w:tcMar>
          </w:tcPr>
          <w:p>
            <w:pPr>
              <w:spacing w:after="60" w:line="240" w:lineRule="auto"/>
            </w:pPr>
            <w:r>
              <w:rPr>
                <w:b w:val="0"/>
                <w:i w:val="0"/>
                <w:sz w:val="19"/>
              </w:rPr>
              <w:t>A_plus_B_all_dna_binding</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+0.3301</w:t>
            </w:r>
          </w:p>
        </w:tc>
        <w:tc>
          <w:tcPr>
            <w:tcW w:type="dxa" w:w="1687"/>
            <w:tcMar>
              <w:top w:w="80" w:type="dxa"/>
              <w:left w:w="80" w:type="dxa"/>
              <w:bottom w:w="80" w:type="dxa"/>
              <w:right w:w="80" w:type="dxa"/>
            </w:tcMar>
          </w:tcPr>
          <w:p>
            <w:pPr>
              <w:spacing w:after="60" w:line="240" w:lineRule="auto"/>
            </w:pPr>
            <w:r>
              <w:rPr>
                <w:b w:val="0"/>
                <w:i w:val="0"/>
                <w:sz w:val="19"/>
              </w:rPr>
              <w:t>0.011114</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(0.001499)</w:t>
            </w:r>
          </w:p>
        </w:tc>
      </w:tr>
      <w:tr>
        <w:trPr>
          <w:cantSplit/>
        </w:trPr>
        <w:tc>
          <w:tcPr>
            <w:tcW w:type="dxa" w:w="2102"/>
            <w:tcMar>
              <w:top w:w="80" w:type="dxa"/>
              <w:left w:w="80" w:type="dxa"/>
              <w:bottom w:w="80" w:type="dxa"/>
              <w:right w:w="80" w:type="dxa"/>
            </w:tcMar>
          </w:tcPr>
          <w:p>
            <w:pPr>
              <w:spacing w:after="60" w:line="240" w:lineRule="auto"/>
            </w:pPr>
            <w:r>
              <w:rPr>
                <w:b w:val="0"/>
                <w:i w:val="0"/>
                <w:sz w:val="19"/>
              </w:rPr>
              <w:t>B_native_nr4a3_dna_binding_targets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-0.1453</w:t>
            </w:r>
          </w:p>
        </w:tc>
        <w:tc>
          <w:tcPr>
            <w:tcW w:type="dxa" w:w="1687"/>
            <w:tcMar>
              <w:top w:w="80" w:type="dxa"/>
              <w:left w:w="80" w:type="dxa"/>
              <w:bottom w:w="80" w:type="dxa"/>
              <w:right w:w="80" w:type="dxa"/>
            </w:tcMar>
          </w:tcPr>
          <w:p>
            <w:pPr>
              <w:spacing w:after="60" w:line="240" w:lineRule="auto"/>
            </w:pPr>
            <w:r>
              <w:rPr>
                <w:b w:val="0"/>
                <w:i w:val="0"/>
                <w:sz w:val="19"/>
              </w:rPr>
              <w:t>0.257493</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(0.334915)</w:t>
            </w:r>
          </w:p>
        </w:tc>
      </w:tr>
      <w:tr>
        <w:trPr>
          <w:cantSplit/>
        </w:trPr>
        <w:tc>
          <w:tcPr>
            <w:tcW w:type="dxa" w:w="2102"/>
            <w:tcMar>
              <w:top w:w="80" w:type="dxa"/>
              <w:left w:w="80" w:type="dxa"/>
              <w:bottom w:w="80" w:type="dxa"/>
              <w:right w:w="80" w:type="dxa"/>
            </w:tcMar>
          </w:tcPr>
          <w:p>
            <w:pPr>
              <w:spacing w:after="60" w:line="240" w:lineRule="auto"/>
            </w:pPr>
            <w:r>
              <w:rPr>
                <w:b w:val="0"/>
                <w:i w:val="0"/>
                <w:sz w:val="19"/>
              </w:rPr>
              <w:t>D_filion_table1_emc_vs_137_sarcomas</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+1.4783</w:t>
            </w:r>
          </w:p>
        </w:tc>
        <w:tc>
          <w:tcPr>
            <w:tcW w:type="dxa" w:w="1687"/>
            <w:tcMar>
              <w:top w:w="80" w:type="dxa"/>
              <w:left w:w="80" w:type="dxa"/>
              <w:bottom w:w="80" w:type="dxa"/>
              <w:right w:w="80" w:type="dxa"/>
            </w:tcMar>
          </w:tcPr>
          <w:p>
            <w:pPr>
              <w:spacing w:after="60" w:line="240" w:lineRule="auto"/>
            </w:pPr>
            <w:r>
              <w:rPr>
                <w:b w:val="0"/>
                <w:i w:val="0"/>
                <w:sz w:val="19"/>
              </w:rPr>
              <w:t>0.0005</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(0.000375)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PPARG_pparg_chip_chea</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+0.2938</w:t>
            </w:r>
          </w:p>
        </w:tc>
        <w:tc>
          <w:tcPr>
            <w:tcW w:type="dxa" w:w="1687"/>
            <w:tcMar>
              <w:top w:w="80" w:type="dxa"/>
              <w:left w:w="80" w:type="dxa"/>
              <w:bottom w:w="80" w:type="dxa"/>
              <w:right w:w="80" w:type="dxa"/>
            </w:tcMar>
          </w:tcPr>
          <w:p>
            <w:pPr>
              <w:spacing w:after="60" w:line="240" w:lineRule="auto"/>
            </w:pPr>
            <w:r>
              <w:rPr>
                <w:b w:val="0"/>
                <w:i w:val="0"/>
                <w:sz w:val="19"/>
              </w:rPr>
              <w:t>0.000749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(0.000375)</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PPARG_pparg_KO_UP_FALSIFIER</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-0.1118</w:t>
            </w:r>
          </w:p>
        </w:tc>
        <w:tc>
          <w:tcPr>
            <w:tcW w:type="dxa" w:w="1687"/>
            <w:tcMar>
              <w:top w:w="80" w:type="dxa"/>
              <w:left w:w="80" w:type="dxa"/>
              <w:bottom w:w="80" w:type="dxa"/>
              <w:right w:w="80" w:type="dxa"/>
            </w:tcMar>
          </w:tcPr>
          <w:p>
            <w:pPr>
              <w:spacing w:after="60" w:line="240" w:lineRule="auto"/>
            </w:pPr>
            <w:r>
              <w:rPr>
                <w:b w:val="0"/>
                <w:i w:val="0"/>
                <w:sz w:val="19"/>
              </w:rPr>
              <w:t>0.296454</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(0.084416)</w:t>
            </w:r>
          </w:p>
        </w:tc>
      </w:tr>
      <w:tr>
        <w:trPr>
          <w:cantSplit/>
        </w:trPr>
        <w:tc>
          <w:tcPr>
            <w:tcW w:type="dxa" w:w="2102"/>
            <w:tcMar>
              <w:top w:w="80" w:type="dxa"/>
              <w:left w:w="80" w:type="dxa"/>
              <w:bottom w:w="80" w:type="dxa"/>
              <w:right w:w="80" w:type="dxa"/>
            </w:tcMar>
          </w:tcPr>
          <w:p>
            <w:pPr>
              <w:spacing w:after="60" w:line="240" w:lineRule="auto"/>
            </w:pPr>
            <w:r>
              <w:rPr>
                <w:b w:val="0"/>
                <w:i w:val="0"/>
                <w:sz w:val="19"/>
              </w:rPr>
              <w:t>PPARG_adipogenesis_process_proxy</w:t>
            </w:r>
          </w:p>
        </w:tc>
        <w:tc>
          <w:tcPr>
            <w:tcW w:type="dxa" w:w="1687"/>
            <w:tcMar>
              <w:top w:w="80" w:type="dxa"/>
              <w:left w:w="80" w:type="dxa"/>
              <w:bottom w:w="80" w:type="dxa"/>
              <w:right w:w="80" w:type="dxa"/>
            </w:tcMar>
          </w:tcPr>
          <w:p>
            <w:pPr>
              <w:spacing w:after="60" w:line="240" w:lineRule="auto"/>
            </w:pPr>
            <w:r>
              <w:rPr>
                <w:b w:val="0"/>
                <w:i w:val="0"/>
                <w:sz w:val="19"/>
              </w:rPr>
              <w:t>set</w:t>
            </w:r>
          </w:p>
        </w:tc>
        <w:tc>
          <w:tcPr>
            <w:tcW w:type="dxa" w:w="1687"/>
            <w:tcMar>
              <w:top w:w="80" w:type="dxa"/>
              <w:left w:w="80" w:type="dxa"/>
              <w:bottom w:w="80" w:type="dxa"/>
              <w:right w:w="80" w:type="dxa"/>
            </w:tcMar>
          </w:tcPr>
          <w:p>
            <w:pPr>
              <w:spacing w:after="60" w:line="240" w:lineRule="auto"/>
            </w:pPr>
            <w:r>
              <w:rPr>
                <w:b w:val="0"/>
                <w:i w:val="0"/>
                <w:sz w:val="19"/>
              </w:rPr>
              <w:t>GPL3290</w:t>
            </w:r>
          </w:p>
        </w:tc>
        <w:tc>
          <w:tcPr>
            <w:tcW w:type="dxa" w:w="1687"/>
            <w:tcMar>
              <w:top w:w="80" w:type="dxa"/>
              <w:left w:w="80" w:type="dxa"/>
              <w:bottom w:w="80" w:type="dxa"/>
              <w:right w:w="80" w:type="dxa"/>
            </w:tcMar>
          </w:tcPr>
          <w:p>
            <w:pPr>
              <w:spacing w:after="60" w:line="240" w:lineRule="auto"/>
            </w:pPr>
            <w:r>
              <w:rPr>
                <w:b w:val="0"/>
                <w:i w:val="0"/>
                <w:sz w:val="19"/>
              </w:rPr>
              <w:t>+0.2183</w:t>
            </w:r>
          </w:p>
        </w:tc>
        <w:tc>
          <w:tcPr>
            <w:tcW w:type="dxa" w:w="1687"/>
            <w:tcMar>
              <w:top w:w="80" w:type="dxa"/>
              <w:left w:w="80" w:type="dxa"/>
              <w:bottom w:w="80" w:type="dxa"/>
              <w:right w:w="80" w:type="dxa"/>
            </w:tcMar>
          </w:tcPr>
          <w:p>
            <w:pPr>
              <w:spacing w:after="60" w:line="240" w:lineRule="auto"/>
            </w:pPr>
            <w:r>
              <w:rPr>
                <w:b w:val="0"/>
                <w:i w:val="0"/>
                <w:sz w:val="19"/>
              </w:rPr>
              <w:t>0.001499</w:t>
            </w:r>
          </w:p>
        </w:tc>
        <w:tc>
          <w:tcPr>
            <w:tcW w:type="dxa" w:w="1687"/>
            <w:tcMar>
              <w:top w:w="80" w:type="dxa"/>
              <w:left w:w="80" w:type="dxa"/>
              <w:bottom w:w="80" w:type="dxa"/>
              <w:right w:w="80" w:type="dxa"/>
            </w:tcMar>
          </w:tcPr>
          <w:p>
            <w:pPr>
              <w:spacing w:after="60" w:line="240" w:lineRule="auto"/>
            </w:pPr>
            <w:r>
              <w:rPr>
                <w:b w:val="0"/>
                <w:i w:val="0"/>
                <w:sz w:val="19"/>
              </w:rPr>
              <w:t>—</w:t>
            </w:r>
          </w:p>
        </w:tc>
        <w:tc>
          <w:tcPr>
            <w:tcW w:type="dxa" w:w="1687"/>
            <w:tcMar>
              <w:top w:w="80" w:type="dxa"/>
              <w:left w:w="80" w:type="dxa"/>
              <w:bottom w:w="80" w:type="dxa"/>
              <w:right w:w="80" w:type="dxa"/>
            </w:tcMar>
          </w:tcPr>
          <w:p>
            <w:pPr>
              <w:spacing w:after="60" w:line="240" w:lineRule="auto"/>
            </w:pPr>
            <w:r>
              <w:rPr>
                <w:b w:val="0"/>
                <w:i w:val="0"/>
                <w:sz w:val="19"/>
              </w:rPr>
              <w:t>yes</w:t>
            </w:r>
          </w:p>
        </w:tc>
        <w:tc>
          <w:tcPr>
            <w:tcW w:type="dxa" w:w="1890"/>
            <w:tcMar>
              <w:top w:w="80" w:type="dxa"/>
              <w:left w:w="80" w:type="dxa"/>
              <w:bottom w:w="80" w:type="dxa"/>
              <w:right w:w="80" w:type="dxa"/>
            </w:tcMar>
          </w:tcPr>
          <w:p>
            <w:pPr>
              <w:spacing w:after="60" w:line="240" w:lineRule="auto"/>
            </w:pPr>
            <w:r>
              <w:rPr>
                <w:b w:val="0"/>
                <w:i w:val="0"/>
                <w:sz w:val="19"/>
              </w:rPr>
              <w:t>yes (0.00025)</w:t>
            </w:r>
          </w:p>
        </w:tc>
      </w:tr>
    </w:tbl>
    <w:p>
      <w:pPr>
        <w:pStyle w:val="Heading2"/>
      </w:pPr>
      <w:r>
        <w:rPr>
          <w:b w:val="0"/>
          <w:i w:val="0"/>
        </w:rPr>
        <w:t>TABLE S4 — every stratified comparator contrast, with its own exact permutation p</w:t>
      </w:r>
    </w:p>
    <w:p>
      <w:r>
        <w:rPr>
          <w:b/>
          <w:i w:val="0"/>
        </w:rPr>
        <w:t>GPL6244</w:t>
      </w:r>
      <w:r>
        <w:rPr>
          <w:b w:val="0"/>
          <w:i w:val="0"/>
        </w:rPr>
        <w:t xml:space="preserve"> — comparator sub-arms: class_LGFMS_only (n=17), class_desmoid_fibromatosis_only (n=6), class_fibrosarcoma_only (n=6, whose GEO sample titles read </w:t>
      </w:r>
      <w:r>
        <w:rPr>
          <w:b w:val="0"/>
          <w:i/>
        </w:rPr>
        <w:t>Myxofibrosarcoma</w:t>
      </w:r>
      <w:r>
        <w:rPr>
          <w:b w:val="0"/>
          <w:i w:val="0"/>
        </w:rPr>
        <w:t>; the label is the scoring module's bucket name and the samples are myxoid), myxoid_comparators_only (n=23), non_myxoid_comparators_only (n=6)</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841"/>
        <w:gridCol w:w="2372"/>
        <w:gridCol w:w="2554"/>
        <w:gridCol w:w="2433"/>
        <w:gridCol w:w="2409"/>
        <w:gridCol w:w="2506"/>
      </w:tblGrid>
      <w:tr>
        <w:trPr>
          <w:cantSplit/>
          <w:tblHeader/>
        </w:trPr>
        <w:tc>
          <w:tcPr>
            <w:tcW w:type="dxa" w:w="1841"/>
            <w:tcMar>
              <w:top w:w="80" w:type="dxa"/>
              <w:left w:w="80" w:type="dxa"/>
              <w:bottom w:w="80" w:type="dxa"/>
              <w:right w:w="80" w:type="dxa"/>
            </w:tcMar>
          </w:tcPr>
          <w:p>
            <w:pPr>
              <w:keepNext/>
              <w:spacing w:after="60" w:line="240" w:lineRule="auto"/>
            </w:pPr>
            <w:r>
              <w:rPr>
                <w:b/>
                <w:i w:val="0"/>
                <w:sz w:val="19"/>
              </w:rPr>
              <w:t>gene</w:t>
            </w:r>
          </w:p>
        </w:tc>
        <w:tc>
          <w:tcPr>
            <w:tcW w:type="dxa" w:w="2372"/>
            <w:tcMar>
              <w:top w:w="80" w:type="dxa"/>
              <w:left w:w="80" w:type="dxa"/>
              <w:bottom w:w="80" w:type="dxa"/>
              <w:right w:w="80" w:type="dxa"/>
            </w:tcMar>
          </w:tcPr>
          <w:p>
            <w:pPr>
              <w:keepNext/>
              <w:spacing w:after="60" w:line="240" w:lineRule="auto"/>
            </w:pPr>
            <w:r>
              <w:rPr>
                <w:b/>
                <w:i w:val="0"/>
                <w:sz w:val="19"/>
              </w:rPr>
              <w:t>class LGFMS only</w:t>
            </w:r>
          </w:p>
        </w:tc>
        <w:tc>
          <w:tcPr>
            <w:tcW w:type="dxa" w:w="2554"/>
            <w:tcMar>
              <w:top w:w="80" w:type="dxa"/>
              <w:left w:w="80" w:type="dxa"/>
              <w:bottom w:w="80" w:type="dxa"/>
              <w:right w:w="80" w:type="dxa"/>
            </w:tcMar>
          </w:tcPr>
          <w:p>
            <w:pPr>
              <w:keepNext/>
              <w:spacing w:after="60" w:line="240" w:lineRule="auto"/>
            </w:pPr>
            <w:r>
              <w:rPr>
                <w:b/>
                <w:i w:val="0"/>
                <w:sz w:val="19"/>
              </w:rPr>
              <w:t>class desmoid fibromatosis only</w:t>
            </w:r>
          </w:p>
        </w:tc>
        <w:tc>
          <w:tcPr>
            <w:tcW w:type="dxa" w:w="2433"/>
            <w:tcMar>
              <w:top w:w="80" w:type="dxa"/>
              <w:left w:w="80" w:type="dxa"/>
              <w:bottom w:w="80" w:type="dxa"/>
              <w:right w:w="80" w:type="dxa"/>
            </w:tcMar>
          </w:tcPr>
          <w:p>
            <w:pPr>
              <w:keepNext/>
              <w:spacing w:after="60" w:line="240" w:lineRule="auto"/>
            </w:pPr>
            <w:r>
              <w:rPr>
                <w:b/>
                <w:i w:val="0"/>
                <w:sz w:val="19"/>
              </w:rPr>
              <w:t>class fibrosarcoma only</w:t>
            </w:r>
          </w:p>
        </w:tc>
        <w:tc>
          <w:tcPr>
            <w:tcW w:type="dxa" w:w="2409"/>
            <w:tcMar>
              <w:top w:w="80" w:type="dxa"/>
              <w:left w:w="80" w:type="dxa"/>
              <w:bottom w:w="80" w:type="dxa"/>
              <w:right w:w="80" w:type="dxa"/>
            </w:tcMar>
          </w:tcPr>
          <w:p>
            <w:pPr>
              <w:keepNext/>
              <w:spacing w:after="60" w:line="240" w:lineRule="auto"/>
            </w:pPr>
            <w:r>
              <w:rPr>
                <w:b/>
                <w:i w:val="0"/>
                <w:sz w:val="19"/>
              </w:rPr>
              <w:t>myxoid comparators only</w:t>
            </w:r>
          </w:p>
        </w:tc>
        <w:tc>
          <w:tcPr>
            <w:tcW w:type="dxa" w:w="2506"/>
            <w:tcMar>
              <w:top w:w="80" w:type="dxa"/>
              <w:left w:w="80" w:type="dxa"/>
              <w:bottom w:w="80" w:type="dxa"/>
              <w:right w:w="80" w:type="dxa"/>
            </w:tcMar>
          </w:tcPr>
          <w:p>
            <w:pPr>
              <w:keepNext/>
              <w:spacing w:after="60" w:line="240" w:lineRule="auto"/>
            </w:pPr>
            <w:r>
              <w:rPr>
                <w:b/>
                <w:i w:val="0"/>
                <w:sz w:val="19"/>
              </w:rPr>
              <w:t>non myxoid comparators only</w:t>
            </w:r>
          </w:p>
        </w:tc>
      </w:tr>
      <w:tr>
        <w:trPr>
          <w:cantSplit/>
        </w:trPr>
        <w:tc>
          <w:tcPr>
            <w:tcW w:type="dxa" w:w="1841"/>
            <w:tcMar>
              <w:top w:w="80" w:type="dxa"/>
              <w:left w:w="80" w:type="dxa"/>
              <w:bottom w:w="80" w:type="dxa"/>
              <w:right w:w="80" w:type="dxa"/>
            </w:tcMar>
          </w:tcPr>
          <w:p>
            <w:pPr>
              <w:spacing w:after="60" w:line="240" w:lineRule="auto"/>
            </w:pPr>
            <w:r>
              <w:rPr>
                <w:b w:val="0"/>
                <w:i/>
                <w:sz w:val="19"/>
              </w:rPr>
              <w:t>ENO3</w:t>
            </w:r>
          </w:p>
        </w:tc>
        <w:tc>
          <w:tcPr>
            <w:tcW w:type="dxa" w:w="2372"/>
            <w:tcMar>
              <w:top w:w="80" w:type="dxa"/>
              <w:left w:w="80" w:type="dxa"/>
              <w:bottom w:w="80" w:type="dxa"/>
              <w:right w:w="80" w:type="dxa"/>
            </w:tcMar>
          </w:tcPr>
          <w:p>
            <w:pPr>
              <w:spacing w:after="60" w:line="240" w:lineRule="auto"/>
            </w:pPr>
            <w:r>
              <w:rPr>
                <w:b w:val="0"/>
                <w:i w:val="0"/>
                <w:sz w:val="19"/>
              </w:rPr>
              <w:t>+0.805 (p 0.000168)</w:t>
            </w:r>
          </w:p>
        </w:tc>
        <w:tc>
          <w:tcPr>
            <w:tcW w:type="dxa" w:w="2554"/>
            <w:tcMar>
              <w:top w:w="80" w:type="dxa"/>
              <w:left w:w="80" w:type="dxa"/>
              <w:bottom w:w="80" w:type="dxa"/>
              <w:right w:w="80" w:type="dxa"/>
            </w:tcMar>
          </w:tcPr>
          <w:p>
            <w:pPr>
              <w:spacing w:after="60" w:line="240" w:lineRule="auto"/>
            </w:pPr>
            <w:r>
              <w:rPr>
                <w:b w:val="0"/>
                <w:i w:val="0"/>
                <w:sz w:val="19"/>
              </w:rPr>
              <w:t>+0.807 (p 0.02165)</w:t>
            </w:r>
          </w:p>
        </w:tc>
        <w:tc>
          <w:tcPr>
            <w:tcW w:type="dxa" w:w="2433"/>
            <w:tcMar>
              <w:top w:w="80" w:type="dxa"/>
              <w:left w:w="80" w:type="dxa"/>
              <w:bottom w:w="80" w:type="dxa"/>
              <w:right w:w="80" w:type="dxa"/>
            </w:tcMar>
          </w:tcPr>
          <w:p>
            <w:pPr>
              <w:spacing w:after="60" w:line="240" w:lineRule="auto"/>
            </w:pPr>
            <w:r>
              <w:rPr>
                <w:b w:val="0"/>
                <w:i w:val="0"/>
                <w:sz w:val="19"/>
              </w:rPr>
              <w:t>+0.816 (p 0.01082)</w:t>
            </w:r>
          </w:p>
        </w:tc>
        <w:tc>
          <w:tcPr>
            <w:tcW w:type="dxa" w:w="2409"/>
            <w:tcMar>
              <w:top w:w="80" w:type="dxa"/>
              <w:left w:w="80" w:type="dxa"/>
              <w:bottom w:w="80" w:type="dxa"/>
              <w:right w:w="80" w:type="dxa"/>
            </w:tcMar>
          </w:tcPr>
          <w:p>
            <w:pPr>
              <w:spacing w:after="60" w:line="240" w:lineRule="auto"/>
            </w:pPr>
            <w:r>
              <w:rPr>
                <w:b w:val="0"/>
                <w:i w:val="0"/>
                <w:sz w:val="19"/>
              </w:rPr>
              <w:t>+0.808 (p 8e-05)</w:t>
            </w:r>
          </w:p>
        </w:tc>
        <w:tc>
          <w:tcPr>
            <w:tcW w:type="dxa" w:w="2506"/>
            <w:tcMar>
              <w:top w:w="80" w:type="dxa"/>
              <w:left w:w="80" w:type="dxa"/>
              <w:bottom w:w="80" w:type="dxa"/>
              <w:right w:w="80" w:type="dxa"/>
            </w:tcMar>
          </w:tcPr>
          <w:p>
            <w:pPr>
              <w:spacing w:after="60" w:line="240" w:lineRule="auto"/>
            </w:pPr>
            <w:r>
              <w:rPr>
                <w:b w:val="0"/>
                <w:i w:val="0"/>
                <w:sz w:val="19"/>
              </w:rPr>
              <w:t>+0.807 (p 0.02165)</w:t>
            </w:r>
          </w:p>
        </w:tc>
      </w:tr>
      <w:tr>
        <w:trPr>
          <w:cantSplit/>
        </w:trPr>
        <w:tc>
          <w:tcPr>
            <w:tcW w:type="dxa" w:w="1841"/>
            <w:tcMar>
              <w:top w:w="80" w:type="dxa"/>
              <w:left w:w="80" w:type="dxa"/>
              <w:bottom w:w="80" w:type="dxa"/>
              <w:right w:w="80" w:type="dxa"/>
            </w:tcMar>
          </w:tcPr>
          <w:p>
            <w:pPr>
              <w:spacing w:after="60" w:line="240" w:lineRule="auto"/>
            </w:pPr>
            <w:r>
              <w:rPr>
                <w:b w:val="0"/>
                <w:i/>
                <w:sz w:val="19"/>
              </w:rPr>
              <w:t>PPARG</w:t>
            </w:r>
          </w:p>
        </w:tc>
        <w:tc>
          <w:tcPr>
            <w:tcW w:type="dxa" w:w="2372"/>
            <w:tcMar>
              <w:top w:w="80" w:type="dxa"/>
              <w:left w:w="80" w:type="dxa"/>
              <w:bottom w:w="80" w:type="dxa"/>
              <w:right w:w="80" w:type="dxa"/>
            </w:tcMar>
          </w:tcPr>
          <w:p>
            <w:pPr>
              <w:spacing w:after="60" w:line="240" w:lineRule="auto"/>
            </w:pPr>
            <w:r>
              <w:rPr>
                <w:b w:val="0"/>
                <w:i w:val="0"/>
                <w:sz w:val="19"/>
              </w:rPr>
              <w:t>+0.197 (p 0.2204)</w:t>
            </w:r>
          </w:p>
        </w:tc>
        <w:tc>
          <w:tcPr>
            <w:tcW w:type="dxa" w:w="2554"/>
            <w:tcMar>
              <w:top w:w="80" w:type="dxa"/>
              <w:left w:w="80" w:type="dxa"/>
              <w:bottom w:w="80" w:type="dxa"/>
              <w:right w:w="80" w:type="dxa"/>
            </w:tcMar>
          </w:tcPr>
          <w:p>
            <w:pPr>
              <w:spacing w:after="60" w:line="240" w:lineRule="auto"/>
            </w:pPr>
            <w:r>
              <w:rPr>
                <w:b w:val="0"/>
                <w:i w:val="0"/>
                <w:sz w:val="19"/>
              </w:rPr>
              <w:t>+0.473 (p 0.04329)</w:t>
            </w:r>
          </w:p>
        </w:tc>
        <w:tc>
          <w:tcPr>
            <w:tcW w:type="dxa" w:w="2433"/>
            <w:tcMar>
              <w:top w:w="80" w:type="dxa"/>
              <w:left w:w="80" w:type="dxa"/>
              <w:bottom w:w="80" w:type="dxa"/>
              <w:right w:w="80" w:type="dxa"/>
            </w:tcMar>
          </w:tcPr>
          <w:p>
            <w:pPr>
              <w:spacing w:after="60" w:line="240" w:lineRule="auto"/>
            </w:pPr>
            <w:r>
              <w:rPr>
                <w:b w:val="0"/>
                <w:i w:val="0"/>
                <w:sz w:val="19"/>
              </w:rPr>
              <w:t>+0.454 (p 0.06926)</w:t>
            </w:r>
          </w:p>
        </w:tc>
        <w:tc>
          <w:tcPr>
            <w:tcW w:type="dxa" w:w="2409"/>
            <w:tcMar>
              <w:top w:w="80" w:type="dxa"/>
              <w:left w:w="80" w:type="dxa"/>
              <w:bottom w:w="80" w:type="dxa"/>
              <w:right w:w="80" w:type="dxa"/>
            </w:tcMar>
          </w:tcPr>
          <w:p>
            <w:pPr>
              <w:spacing w:after="60" w:line="240" w:lineRule="auto"/>
            </w:pPr>
            <w:r>
              <w:rPr>
                <w:b w:val="0"/>
                <w:i w:val="0"/>
                <w:sz w:val="19"/>
              </w:rPr>
              <w:t>+0.264 (p 0.1003)</w:t>
            </w:r>
          </w:p>
        </w:tc>
        <w:tc>
          <w:tcPr>
            <w:tcW w:type="dxa" w:w="2506"/>
            <w:tcMar>
              <w:top w:w="80" w:type="dxa"/>
              <w:left w:w="80" w:type="dxa"/>
              <w:bottom w:w="80" w:type="dxa"/>
              <w:right w:w="80" w:type="dxa"/>
            </w:tcMar>
          </w:tcPr>
          <w:p>
            <w:pPr>
              <w:spacing w:after="60" w:line="240" w:lineRule="auto"/>
            </w:pPr>
            <w:r>
              <w:rPr>
                <w:b w:val="0"/>
                <w:i w:val="0"/>
                <w:sz w:val="19"/>
              </w:rPr>
              <w:t>+0.473 (p 0.04329)</w:t>
            </w:r>
          </w:p>
        </w:tc>
      </w:tr>
      <w:tr>
        <w:trPr>
          <w:cantSplit/>
        </w:trPr>
        <w:tc>
          <w:tcPr>
            <w:tcW w:type="dxa" w:w="1841"/>
            <w:tcMar>
              <w:top w:w="80" w:type="dxa"/>
              <w:left w:w="80" w:type="dxa"/>
              <w:bottom w:w="80" w:type="dxa"/>
              <w:right w:w="80" w:type="dxa"/>
            </w:tcMar>
          </w:tcPr>
          <w:p>
            <w:pPr>
              <w:spacing w:after="60" w:line="240" w:lineRule="auto"/>
            </w:pPr>
            <w:r>
              <w:rPr>
                <w:b w:val="0"/>
                <w:i/>
                <w:sz w:val="19"/>
              </w:rPr>
              <w:t>SEMA3C</w:t>
            </w:r>
          </w:p>
        </w:tc>
        <w:tc>
          <w:tcPr>
            <w:tcW w:type="dxa" w:w="2372"/>
            <w:tcMar>
              <w:top w:w="80" w:type="dxa"/>
              <w:left w:w="80" w:type="dxa"/>
              <w:bottom w:w="80" w:type="dxa"/>
              <w:right w:w="80" w:type="dxa"/>
            </w:tcMar>
          </w:tcPr>
          <w:p>
            <w:pPr>
              <w:spacing w:after="60" w:line="240" w:lineRule="auto"/>
            </w:pPr>
            <w:r>
              <w:rPr>
                <w:b w:val="0"/>
                <w:i w:val="0"/>
                <w:sz w:val="19"/>
              </w:rPr>
              <w:t>+1.657 (p 0.000119)</w:t>
            </w:r>
          </w:p>
        </w:tc>
        <w:tc>
          <w:tcPr>
            <w:tcW w:type="dxa" w:w="2554"/>
            <w:tcMar>
              <w:top w:w="80" w:type="dxa"/>
              <w:left w:w="80" w:type="dxa"/>
              <w:bottom w:w="80" w:type="dxa"/>
              <w:right w:w="80" w:type="dxa"/>
            </w:tcMar>
          </w:tcPr>
          <w:p>
            <w:pPr>
              <w:spacing w:after="60" w:line="240" w:lineRule="auto"/>
            </w:pPr>
            <w:r>
              <w:rPr>
                <w:b w:val="0"/>
                <w:i w:val="0"/>
                <w:sz w:val="19"/>
              </w:rPr>
              <w:t>-0.645 (p 0.01515)</w:t>
            </w:r>
          </w:p>
        </w:tc>
        <w:tc>
          <w:tcPr>
            <w:tcW w:type="dxa" w:w="2433"/>
            <w:tcMar>
              <w:top w:w="80" w:type="dxa"/>
              <w:left w:w="80" w:type="dxa"/>
              <w:bottom w:w="80" w:type="dxa"/>
              <w:right w:w="80" w:type="dxa"/>
            </w:tcMar>
          </w:tcPr>
          <w:p>
            <w:pPr>
              <w:spacing w:after="60" w:line="240" w:lineRule="auto"/>
            </w:pPr>
            <w:r>
              <w:rPr>
                <w:b w:val="0"/>
                <w:i w:val="0"/>
                <w:sz w:val="19"/>
              </w:rPr>
              <w:t>-0.523 (p 0.1364)</w:t>
            </w:r>
          </w:p>
        </w:tc>
        <w:tc>
          <w:tcPr>
            <w:tcW w:type="dxa" w:w="2409"/>
            <w:tcMar>
              <w:top w:w="80" w:type="dxa"/>
              <w:left w:w="80" w:type="dxa"/>
              <w:bottom w:w="80" w:type="dxa"/>
              <w:right w:w="80" w:type="dxa"/>
            </w:tcMar>
          </w:tcPr>
          <w:p>
            <w:pPr>
              <w:spacing w:after="60" w:line="240" w:lineRule="auto"/>
            </w:pPr>
            <w:r>
              <w:rPr>
                <w:b w:val="0"/>
                <w:i w:val="0"/>
                <w:sz w:val="19"/>
              </w:rPr>
              <w:t>+1.089 (p 0.04609)</w:t>
            </w:r>
          </w:p>
        </w:tc>
        <w:tc>
          <w:tcPr>
            <w:tcW w:type="dxa" w:w="2506"/>
            <w:tcMar>
              <w:top w:w="80" w:type="dxa"/>
              <w:left w:w="80" w:type="dxa"/>
              <w:bottom w:w="80" w:type="dxa"/>
              <w:right w:w="80" w:type="dxa"/>
            </w:tcMar>
          </w:tcPr>
          <w:p>
            <w:pPr>
              <w:spacing w:after="60" w:line="240" w:lineRule="auto"/>
            </w:pPr>
            <w:r>
              <w:rPr>
                <w:b w:val="0"/>
                <w:i w:val="0"/>
                <w:sz w:val="19"/>
              </w:rPr>
              <w:t>-0.645 (p 0.01515)</w:t>
            </w:r>
          </w:p>
        </w:tc>
      </w:tr>
      <w:tr>
        <w:trPr>
          <w:cantSplit/>
        </w:trPr>
        <w:tc>
          <w:tcPr>
            <w:tcW w:type="dxa" w:w="1841"/>
            <w:tcMar>
              <w:top w:w="80" w:type="dxa"/>
              <w:left w:w="80" w:type="dxa"/>
              <w:bottom w:w="80" w:type="dxa"/>
              <w:right w:w="80" w:type="dxa"/>
            </w:tcMar>
          </w:tcPr>
          <w:p>
            <w:pPr>
              <w:spacing w:after="60" w:line="240" w:lineRule="auto"/>
            </w:pPr>
            <w:r>
              <w:rPr>
                <w:b w:val="0"/>
                <w:i/>
                <w:sz w:val="19"/>
              </w:rPr>
              <w:t>NR4A3</w:t>
            </w:r>
          </w:p>
        </w:tc>
        <w:tc>
          <w:tcPr>
            <w:tcW w:type="dxa" w:w="2372"/>
            <w:tcMar>
              <w:top w:w="80" w:type="dxa"/>
              <w:left w:w="80" w:type="dxa"/>
              <w:bottom w:w="80" w:type="dxa"/>
              <w:right w:w="80" w:type="dxa"/>
            </w:tcMar>
          </w:tcPr>
          <w:p>
            <w:pPr>
              <w:spacing w:after="60" w:line="240" w:lineRule="auto"/>
            </w:pPr>
            <w:r>
              <w:rPr>
                <w:b w:val="0"/>
                <w:i w:val="0"/>
                <w:sz w:val="19"/>
              </w:rPr>
              <w:t>+0.839 (p 0.000158)</w:t>
            </w:r>
          </w:p>
        </w:tc>
        <w:tc>
          <w:tcPr>
            <w:tcW w:type="dxa" w:w="2554"/>
            <w:tcMar>
              <w:top w:w="80" w:type="dxa"/>
              <w:left w:w="80" w:type="dxa"/>
              <w:bottom w:w="80" w:type="dxa"/>
              <w:right w:w="80" w:type="dxa"/>
            </w:tcMar>
          </w:tcPr>
          <w:p>
            <w:pPr>
              <w:spacing w:after="60" w:line="240" w:lineRule="auto"/>
            </w:pPr>
            <w:r>
              <w:rPr>
                <w:b w:val="0"/>
                <w:i w:val="0"/>
                <w:sz w:val="19"/>
              </w:rPr>
              <w:t>+0.837 (p 0.002165)</w:t>
            </w:r>
          </w:p>
        </w:tc>
        <w:tc>
          <w:tcPr>
            <w:tcW w:type="dxa" w:w="2433"/>
            <w:tcMar>
              <w:top w:w="80" w:type="dxa"/>
              <w:left w:w="80" w:type="dxa"/>
              <w:bottom w:w="80" w:type="dxa"/>
              <w:right w:w="80" w:type="dxa"/>
            </w:tcMar>
          </w:tcPr>
          <w:p>
            <w:pPr>
              <w:spacing w:after="60" w:line="240" w:lineRule="auto"/>
            </w:pPr>
            <w:r>
              <w:rPr>
                <w:b w:val="0"/>
                <w:i w:val="0"/>
                <w:sz w:val="19"/>
              </w:rPr>
              <w:t>+0.370 (p 0.1255)</w:t>
            </w:r>
          </w:p>
        </w:tc>
        <w:tc>
          <w:tcPr>
            <w:tcW w:type="dxa" w:w="2409"/>
            <w:tcMar>
              <w:top w:w="80" w:type="dxa"/>
              <w:left w:w="80" w:type="dxa"/>
              <w:bottom w:w="80" w:type="dxa"/>
              <w:right w:w="80" w:type="dxa"/>
            </w:tcMar>
          </w:tcPr>
          <w:p>
            <w:pPr>
              <w:spacing w:after="60" w:line="240" w:lineRule="auto"/>
            </w:pPr>
            <w:r>
              <w:rPr>
                <w:b w:val="0"/>
                <w:i w:val="0"/>
                <w:sz w:val="19"/>
              </w:rPr>
              <w:t>+0.717 (p 0.000568)</w:t>
            </w:r>
          </w:p>
        </w:tc>
        <w:tc>
          <w:tcPr>
            <w:tcW w:type="dxa" w:w="2506"/>
            <w:tcMar>
              <w:top w:w="80" w:type="dxa"/>
              <w:left w:w="80" w:type="dxa"/>
              <w:bottom w:w="80" w:type="dxa"/>
              <w:right w:w="80" w:type="dxa"/>
            </w:tcMar>
          </w:tcPr>
          <w:p>
            <w:pPr>
              <w:spacing w:after="60" w:line="240" w:lineRule="auto"/>
            </w:pPr>
            <w:r>
              <w:rPr>
                <w:b w:val="0"/>
                <w:i w:val="0"/>
                <w:sz w:val="19"/>
              </w:rPr>
              <w:t>+0.837 (p 0.002165)</w:t>
            </w:r>
          </w:p>
        </w:tc>
      </w:tr>
      <w:tr>
        <w:trPr>
          <w:cantSplit/>
        </w:trPr>
        <w:tc>
          <w:tcPr>
            <w:tcW w:type="dxa" w:w="1841"/>
            <w:tcMar>
              <w:top w:w="80" w:type="dxa"/>
              <w:left w:w="80" w:type="dxa"/>
              <w:bottom w:w="80" w:type="dxa"/>
              <w:right w:w="80" w:type="dxa"/>
            </w:tcMar>
          </w:tcPr>
          <w:p>
            <w:pPr>
              <w:spacing w:after="60" w:line="240" w:lineRule="auto"/>
            </w:pPr>
            <w:r>
              <w:rPr>
                <w:b w:val="0"/>
                <w:i/>
                <w:sz w:val="19"/>
              </w:rPr>
              <w:t>PLAGL1</w:t>
            </w:r>
          </w:p>
        </w:tc>
        <w:tc>
          <w:tcPr>
            <w:tcW w:type="dxa" w:w="2372"/>
            <w:tcMar>
              <w:top w:w="80" w:type="dxa"/>
              <w:left w:w="80" w:type="dxa"/>
              <w:bottom w:w="80" w:type="dxa"/>
              <w:right w:w="80" w:type="dxa"/>
            </w:tcMar>
          </w:tcPr>
          <w:p>
            <w:pPr>
              <w:spacing w:after="60" w:line="240" w:lineRule="auto"/>
            </w:pPr>
            <w:r>
              <w:rPr>
                <w:b w:val="0"/>
                <w:i w:val="0"/>
                <w:sz w:val="19"/>
              </w:rPr>
              <w:t>-0.169 (p 0.4306)</w:t>
            </w:r>
          </w:p>
        </w:tc>
        <w:tc>
          <w:tcPr>
            <w:tcW w:type="dxa" w:w="2554"/>
            <w:tcMar>
              <w:top w:w="80" w:type="dxa"/>
              <w:left w:w="80" w:type="dxa"/>
              <w:bottom w:w="80" w:type="dxa"/>
              <w:right w:w="80" w:type="dxa"/>
            </w:tcMar>
          </w:tcPr>
          <w:p>
            <w:pPr>
              <w:spacing w:after="60" w:line="240" w:lineRule="auto"/>
            </w:pPr>
            <w:r>
              <w:rPr>
                <w:b w:val="0"/>
                <w:i w:val="0"/>
                <w:sz w:val="19"/>
              </w:rPr>
              <w:t>-0.733 (p 0.04329)</w:t>
            </w:r>
          </w:p>
        </w:tc>
        <w:tc>
          <w:tcPr>
            <w:tcW w:type="dxa" w:w="2433"/>
            <w:tcMar>
              <w:top w:w="80" w:type="dxa"/>
              <w:left w:w="80" w:type="dxa"/>
              <w:bottom w:w="80" w:type="dxa"/>
              <w:right w:w="80" w:type="dxa"/>
            </w:tcMar>
          </w:tcPr>
          <w:p>
            <w:pPr>
              <w:spacing w:after="60" w:line="240" w:lineRule="auto"/>
            </w:pPr>
            <w:r>
              <w:rPr>
                <w:b w:val="0"/>
                <w:i w:val="0"/>
                <w:sz w:val="19"/>
              </w:rPr>
              <w:t>-0.835 (p 0.06277)</w:t>
            </w:r>
          </w:p>
        </w:tc>
        <w:tc>
          <w:tcPr>
            <w:tcW w:type="dxa" w:w="2409"/>
            <w:tcMar>
              <w:top w:w="80" w:type="dxa"/>
              <w:left w:w="80" w:type="dxa"/>
              <w:bottom w:w="80" w:type="dxa"/>
              <w:right w:w="80" w:type="dxa"/>
            </w:tcMar>
          </w:tcPr>
          <w:p>
            <w:pPr>
              <w:spacing w:after="60" w:line="240" w:lineRule="auto"/>
            </w:pPr>
            <w:r>
              <w:rPr>
                <w:b w:val="0"/>
                <w:i w:val="0"/>
                <w:sz w:val="19"/>
              </w:rPr>
              <w:t>-0.343 (p 0.1831)</w:t>
            </w:r>
          </w:p>
        </w:tc>
        <w:tc>
          <w:tcPr>
            <w:tcW w:type="dxa" w:w="2506"/>
            <w:tcMar>
              <w:top w:w="80" w:type="dxa"/>
              <w:left w:w="80" w:type="dxa"/>
              <w:bottom w:w="80" w:type="dxa"/>
              <w:right w:w="80" w:type="dxa"/>
            </w:tcMar>
          </w:tcPr>
          <w:p>
            <w:pPr>
              <w:spacing w:after="60" w:line="240" w:lineRule="auto"/>
            </w:pPr>
            <w:r>
              <w:rPr>
                <w:b w:val="0"/>
                <w:i w:val="0"/>
                <w:sz w:val="19"/>
              </w:rPr>
              <w:t>-0.733 (p 0.04329)</w:t>
            </w:r>
          </w:p>
        </w:tc>
      </w:tr>
      <w:tr>
        <w:trPr>
          <w:cantSplit/>
        </w:trPr>
        <w:tc>
          <w:tcPr>
            <w:tcW w:type="dxa" w:w="1841"/>
            <w:tcMar>
              <w:top w:w="80" w:type="dxa"/>
              <w:left w:w="80" w:type="dxa"/>
              <w:bottom w:w="80" w:type="dxa"/>
              <w:right w:w="80" w:type="dxa"/>
            </w:tcMar>
          </w:tcPr>
          <w:p>
            <w:pPr>
              <w:spacing w:after="60" w:line="240" w:lineRule="auto"/>
            </w:pPr>
            <w:r>
              <w:rPr>
                <w:b w:val="0"/>
                <w:i/>
                <w:sz w:val="19"/>
              </w:rPr>
              <w:t>SGK1</w:t>
            </w:r>
          </w:p>
        </w:tc>
        <w:tc>
          <w:tcPr>
            <w:tcW w:type="dxa" w:w="2372"/>
            <w:tcMar>
              <w:top w:w="80" w:type="dxa"/>
              <w:left w:w="80" w:type="dxa"/>
              <w:bottom w:w="80" w:type="dxa"/>
              <w:right w:w="80" w:type="dxa"/>
            </w:tcMar>
          </w:tcPr>
          <w:p>
            <w:pPr>
              <w:spacing w:after="60" w:line="240" w:lineRule="auto"/>
            </w:pPr>
            <w:r>
              <w:rPr>
                <w:b w:val="0"/>
                <w:i w:val="0"/>
                <w:sz w:val="19"/>
              </w:rPr>
              <w:t>-0.032 (p 0.8796)</w:t>
            </w:r>
          </w:p>
        </w:tc>
        <w:tc>
          <w:tcPr>
            <w:tcW w:type="dxa" w:w="2554"/>
            <w:tcMar>
              <w:top w:w="80" w:type="dxa"/>
              <w:left w:w="80" w:type="dxa"/>
              <w:bottom w:w="80" w:type="dxa"/>
              <w:right w:w="80" w:type="dxa"/>
            </w:tcMar>
          </w:tcPr>
          <w:p>
            <w:pPr>
              <w:spacing w:after="60" w:line="240" w:lineRule="auto"/>
            </w:pPr>
            <w:r>
              <w:rPr>
                <w:b w:val="0"/>
                <w:i w:val="0"/>
                <w:sz w:val="19"/>
              </w:rPr>
              <w:t>-0.167 (p 0.5173)</w:t>
            </w:r>
          </w:p>
        </w:tc>
        <w:tc>
          <w:tcPr>
            <w:tcW w:type="dxa" w:w="2433"/>
            <w:tcMar>
              <w:top w:w="80" w:type="dxa"/>
              <w:left w:w="80" w:type="dxa"/>
              <w:bottom w:w="80" w:type="dxa"/>
              <w:right w:w="80" w:type="dxa"/>
            </w:tcMar>
          </w:tcPr>
          <w:p>
            <w:pPr>
              <w:spacing w:after="60" w:line="240" w:lineRule="auto"/>
            </w:pPr>
            <w:r>
              <w:rPr>
                <w:b w:val="0"/>
                <w:i w:val="0"/>
                <w:sz w:val="19"/>
              </w:rPr>
              <w:t>-0.617 (p 0.04762)</w:t>
            </w:r>
          </w:p>
        </w:tc>
        <w:tc>
          <w:tcPr>
            <w:tcW w:type="dxa" w:w="2409"/>
            <w:tcMar>
              <w:top w:w="80" w:type="dxa"/>
              <w:left w:w="80" w:type="dxa"/>
              <w:bottom w:w="80" w:type="dxa"/>
              <w:right w:w="80" w:type="dxa"/>
            </w:tcMar>
          </w:tcPr>
          <w:p>
            <w:pPr>
              <w:spacing w:after="60" w:line="240" w:lineRule="auto"/>
            </w:pPr>
            <w:r>
              <w:rPr>
                <w:b w:val="0"/>
                <w:i w:val="0"/>
                <w:sz w:val="19"/>
              </w:rPr>
              <w:t>-0.184 (p 0.4055)</w:t>
            </w:r>
          </w:p>
        </w:tc>
        <w:tc>
          <w:tcPr>
            <w:tcW w:type="dxa" w:w="2506"/>
            <w:tcMar>
              <w:top w:w="80" w:type="dxa"/>
              <w:left w:w="80" w:type="dxa"/>
              <w:bottom w:w="80" w:type="dxa"/>
              <w:right w:w="80" w:type="dxa"/>
            </w:tcMar>
          </w:tcPr>
          <w:p>
            <w:pPr>
              <w:spacing w:after="60" w:line="240" w:lineRule="auto"/>
            </w:pPr>
            <w:r>
              <w:rPr>
                <w:b w:val="0"/>
                <w:i w:val="0"/>
                <w:sz w:val="19"/>
              </w:rPr>
              <w:t>-0.167 (p 0.5173)</w:t>
            </w:r>
          </w:p>
        </w:tc>
      </w:tr>
    </w:tbl>
    <w:p>
      <w:r>
        <w:rPr>
          <w:b/>
          <w:i w:val="0"/>
        </w:rPr>
        <w:t>GPL3290</w:t>
      </w:r>
      <w:r>
        <w:rPr>
          <w:b w:val="0"/>
          <w:i w:val="0"/>
        </w:rPr>
        <w:t xml:space="preserve"> — comparator sub-arms: class_DFSP_only (n=3), class_GIST_only (n=3), non_myxoid_comparators_only (n=6), reference_pool_matched_only (n=3)</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469"/>
        <w:gridCol w:w="2872"/>
        <w:gridCol w:w="2601"/>
        <w:gridCol w:w="3096"/>
        <w:gridCol w:w="3079"/>
      </w:tblGrid>
      <w:tr>
        <w:trPr>
          <w:cantSplit/>
          <w:tblHeader/>
        </w:trPr>
        <w:tc>
          <w:tcPr>
            <w:tcW w:type="dxa" w:w="2469"/>
            <w:tcMar>
              <w:top w:w="80" w:type="dxa"/>
              <w:left w:w="80" w:type="dxa"/>
              <w:bottom w:w="80" w:type="dxa"/>
              <w:right w:w="80" w:type="dxa"/>
            </w:tcMar>
          </w:tcPr>
          <w:p>
            <w:pPr>
              <w:keepNext/>
              <w:spacing w:after="60" w:line="240" w:lineRule="auto"/>
            </w:pPr>
            <w:r>
              <w:rPr>
                <w:b/>
                <w:i w:val="0"/>
                <w:sz w:val="19"/>
              </w:rPr>
              <w:t>gene</w:t>
            </w:r>
          </w:p>
        </w:tc>
        <w:tc>
          <w:tcPr>
            <w:tcW w:type="dxa" w:w="2872"/>
            <w:tcMar>
              <w:top w:w="80" w:type="dxa"/>
              <w:left w:w="80" w:type="dxa"/>
              <w:bottom w:w="80" w:type="dxa"/>
              <w:right w:w="80" w:type="dxa"/>
            </w:tcMar>
          </w:tcPr>
          <w:p>
            <w:pPr>
              <w:keepNext/>
              <w:spacing w:after="60" w:line="240" w:lineRule="auto"/>
            </w:pPr>
            <w:r>
              <w:rPr>
                <w:b/>
                <w:i w:val="0"/>
                <w:sz w:val="19"/>
              </w:rPr>
              <w:t>class DFSP only</w:t>
            </w:r>
          </w:p>
        </w:tc>
        <w:tc>
          <w:tcPr>
            <w:tcW w:type="dxa" w:w="2601"/>
            <w:tcMar>
              <w:top w:w="80" w:type="dxa"/>
              <w:left w:w="80" w:type="dxa"/>
              <w:bottom w:w="80" w:type="dxa"/>
              <w:right w:w="80" w:type="dxa"/>
            </w:tcMar>
          </w:tcPr>
          <w:p>
            <w:pPr>
              <w:keepNext/>
              <w:spacing w:after="60" w:line="240" w:lineRule="auto"/>
            </w:pPr>
            <w:r>
              <w:rPr>
                <w:b/>
                <w:i w:val="0"/>
                <w:sz w:val="19"/>
              </w:rPr>
              <w:t>class GIST only</w:t>
            </w:r>
          </w:p>
        </w:tc>
        <w:tc>
          <w:tcPr>
            <w:tcW w:type="dxa" w:w="3096"/>
            <w:tcMar>
              <w:top w:w="80" w:type="dxa"/>
              <w:left w:w="80" w:type="dxa"/>
              <w:bottom w:w="80" w:type="dxa"/>
              <w:right w:w="80" w:type="dxa"/>
            </w:tcMar>
          </w:tcPr>
          <w:p>
            <w:pPr>
              <w:keepNext/>
              <w:spacing w:after="60" w:line="240" w:lineRule="auto"/>
            </w:pPr>
            <w:r>
              <w:rPr>
                <w:b/>
                <w:i w:val="0"/>
                <w:sz w:val="19"/>
              </w:rPr>
              <w:t>non myxoid comparators only</w:t>
            </w:r>
          </w:p>
        </w:tc>
        <w:tc>
          <w:tcPr>
            <w:tcW w:type="dxa" w:w="3079"/>
            <w:tcMar>
              <w:top w:w="80" w:type="dxa"/>
              <w:left w:w="80" w:type="dxa"/>
              <w:bottom w:w="80" w:type="dxa"/>
              <w:right w:w="80" w:type="dxa"/>
            </w:tcMar>
          </w:tcPr>
          <w:p>
            <w:pPr>
              <w:keepNext/>
              <w:spacing w:after="60" w:line="240" w:lineRule="auto"/>
            </w:pPr>
            <w:r>
              <w:rPr>
                <w:b/>
                <w:i w:val="0"/>
                <w:sz w:val="19"/>
              </w:rPr>
              <w:t>reference pool matched only</w:t>
            </w:r>
          </w:p>
        </w:tc>
      </w:tr>
      <w:tr>
        <w:trPr>
          <w:cantSplit/>
        </w:trPr>
        <w:tc>
          <w:tcPr>
            <w:tcW w:type="dxa" w:w="2469"/>
            <w:tcMar>
              <w:top w:w="80" w:type="dxa"/>
              <w:left w:w="80" w:type="dxa"/>
              <w:bottom w:w="80" w:type="dxa"/>
              <w:right w:w="80" w:type="dxa"/>
            </w:tcMar>
          </w:tcPr>
          <w:p>
            <w:pPr>
              <w:spacing w:after="60" w:line="240" w:lineRule="auto"/>
            </w:pPr>
            <w:r>
              <w:rPr>
                <w:b w:val="0"/>
                <w:i/>
                <w:sz w:val="19"/>
              </w:rPr>
              <w:t>ENO3</w:t>
            </w:r>
          </w:p>
        </w:tc>
        <w:tc>
          <w:tcPr>
            <w:tcW w:type="dxa" w:w="2872"/>
            <w:tcMar>
              <w:top w:w="80" w:type="dxa"/>
              <w:left w:w="80" w:type="dxa"/>
              <w:bottom w:w="80" w:type="dxa"/>
              <w:right w:w="80" w:type="dxa"/>
            </w:tcMar>
          </w:tcPr>
          <w:p>
            <w:pPr>
              <w:spacing w:after="60" w:line="240" w:lineRule="auto"/>
            </w:pPr>
            <w:r>
              <w:rPr>
                <w:b w:val="0"/>
                <w:i w:val="0"/>
                <w:sz w:val="19"/>
              </w:rPr>
              <w:t>+3.515 (p 0.003497)</w:t>
            </w:r>
          </w:p>
        </w:tc>
        <w:tc>
          <w:tcPr>
            <w:tcW w:type="dxa" w:w="2601"/>
            <w:tcMar>
              <w:top w:w="80" w:type="dxa"/>
              <w:left w:w="80" w:type="dxa"/>
              <w:bottom w:w="80" w:type="dxa"/>
              <w:right w:w="80" w:type="dxa"/>
            </w:tcMar>
          </w:tcPr>
          <w:p>
            <w:pPr>
              <w:spacing w:after="60" w:line="240" w:lineRule="auto"/>
            </w:pPr>
            <w:r>
              <w:rPr>
                <w:b w:val="0"/>
                <w:i w:val="0"/>
                <w:sz w:val="19"/>
              </w:rPr>
              <w:t>+4.107 (p 0.003497)</w:t>
            </w:r>
          </w:p>
        </w:tc>
        <w:tc>
          <w:tcPr>
            <w:tcW w:type="dxa" w:w="3096"/>
            <w:tcMar>
              <w:top w:w="80" w:type="dxa"/>
              <w:left w:w="80" w:type="dxa"/>
              <w:bottom w:w="80" w:type="dxa"/>
              <w:right w:w="80" w:type="dxa"/>
            </w:tcMar>
          </w:tcPr>
          <w:p>
            <w:pPr>
              <w:spacing w:after="60" w:line="240" w:lineRule="auto"/>
            </w:pPr>
            <w:r>
              <w:rPr>
                <w:b w:val="0"/>
                <w:i w:val="0"/>
                <w:sz w:val="19"/>
              </w:rPr>
              <w:t>+3.811 (p 0.000125)</w:t>
            </w:r>
          </w:p>
        </w:tc>
        <w:tc>
          <w:tcPr>
            <w:tcW w:type="dxa" w:w="3079"/>
            <w:tcMar>
              <w:top w:w="80" w:type="dxa"/>
              <w:left w:w="80" w:type="dxa"/>
              <w:bottom w:w="80" w:type="dxa"/>
              <w:right w:w="80" w:type="dxa"/>
            </w:tcMar>
          </w:tcPr>
          <w:p>
            <w:pPr>
              <w:spacing w:after="60" w:line="240" w:lineRule="auto"/>
            </w:pPr>
            <w:r>
              <w:rPr>
                <w:b w:val="0"/>
                <w:i w:val="0"/>
                <w:sz w:val="19"/>
              </w:rPr>
              <w:t>+3.515 (p 0.003497)</w:t>
            </w:r>
          </w:p>
        </w:tc>
      </w:tr>
      <w:tr>
        <w:trPr>
          <w:cantSplit/>
        </w:trPr>
        <w:tc>
          <w:tcPr>
            <w:tcW w:type="dxa" w:w="2469"/>
            <w:tcMar>
              <w:top w:w="80" w:type="dxa"/>
              <w:left w:w="80" w:type="dxa"/>
              <w:bottom w:w="80" w:type="dxa"/>
              <w:right w:w="80" w:type="dxa"/>
            </w:tcMar>
          </w:tcPr>
          <w:p>
            <w:pPr>
              <w:spacing w:after="60" w:line="240" w:lineRule="auto"/>
            </w:pPr>
            <w:r>
              <w:rPr>
                <w:b w:val="0"/>
                <w:i/>
                <w:sz w:val="19"/>
              </w:rPr>
              <w:t>PPARG</w:t>
            </w:r>
          </w:p>
        </w:tc>
        <w:tc>
          <w:tcPr>
            <w:tcW w:type="dxa" w:w="2872"/>
            <w:tcMar>
              <w:top w:w="80" w:type="dxa"/>
              <w:left w:w="80" w:type="dxa"/>
              <w:bottom w:w="80" w:type="dxa"/>
              <w:right w:w="80" w:type="dxa"/>
            </w:tcMar>
          </w:tcPr>
          <w:p>
            <w:pPr>
              <w:spacing w:after="60" w:line="240" w:lineRule="auto"/>
            </w:pPr>
            <w:r>
              <w:rPr>
                <w:b w:val="0"/>
                <w:i w:val="0"/>
                <w:sz w:val="19"/>
              </w:rPr>
              <w:t>+2.679 (p 0.003497)</w:t>
            </w:r>
          </w:p>
        </w:tc>
        <w:tc>
          <w:tcPr>
            <w:tcW w:type="dxa" w:w="2601"/>
            <w:tcMar>
              <w:top w:w="80" w:type="dxa"/>
              <w:left w:w="80" w:type="dxa"/>
              <w:bottom w:w="80" w:type="dxa"/>
              <w:right w:w="80" w:type="dxa"/>
            </w:tcMar>
          </w:tcPr>
          <w:p>
            <w:pPr>
              <w:spacing w:after="60" w:line="240" w:lineRule="auto"/>
            </w:pPr>
            <w:r>
              <w:rPr>
                <w:b w:val="0"/>
                <w:i w:val="0"/>
                <w:sz w:val="19"/>
              </w:rPr>
              <w:t>—</w:t>
            </w:r>
          </w:p>
        </w:tc>
        <w:tc>
          <w:tcPr>
            <w:tcW w:type="dxa" w:w="3096"/>
            <w:tcMar>
              <w:top w:w="80" w:type="dxa"/>
              <w:left w:w="80" w:type="dxa"/>
              <w:bottom w:w="80" w:type="dxa"/>
              <w:right w:w="80" w:type="dxa"/>
            </w:tcMar>
          </w:tcPr>
          <w:p>
            <w:pPr>
              <w:spacing w:after="60" w:line="240" w:lineRule="auto"/>
            </w:pPr>
            <w:r>
              <w:rPr>
                <w:b w:val="0"/>
                <w:i w:val="0"/>
                <w:sz w:val="19"/>
              </w:rPr>
              <w:t>+2.481 (p 0.000333)</w:t>
            </w:r>
          </w:p>
        </w:tc>
        <w:tc>
          <w:tcPr>
            <w:tcW w:type="dxa" w:w="3079"/>
            <w:tcMar>
              <w:top w:w="80" w:type="dxa"/>
              <w:left w:w="80" w:type="dxa"/>
              <w:bottom w:w="80" w:type="dxa"/>
              <w:right w:w="80" w:type="dxa"/>
            </w:tcMar>
          </w:tcPr>
          <w:p>
            <w:pPr>
              <w:spacing w:after="60" w:line="240" w:lineRule="auto"/>
            </w:pPr>
            <w:r>
              <w:rPr>
                <w:b w:val="0"/>
                <w:i w:val="0"/>
                <w:sz w:val="19"/>
              </w:rPr>
              <w:t>+2.679 (p 0.003497)</w:t>
            </w:r>
          </w:p>
        </w:tc>
      </w:tr>
      <w:tr>
        <w:trPr>
          <w:cantSplit/>
        </w:trPr>
        <w:tc>
          <w:tcPr>
            <w:tcW w:type="dxa" w:w="2469"/>
            <w:tcMar>
              <w:top w:w="80" w:type="dxa"/>
              <w:left w:w="80" w:type="dxa"/>
              <w:bottom w:w="80" w:type="dxa"/>
              <w:right w:w="80" w:type="dxa"/>
            </w:tcMar>
          </w:tcPr>
          <w:p>
            <w:pPr>
              <w:spacing w:after="60" w:line="240" w:lineRule="auto"/>
            </w:pPr>
            <w:r>
              <w:rPr>
                <w:b w:val="0"/>
                <w:i/>
                <w:sz w:val="19"/>
              </w:rPr>
              <w:t>SEMA3C</w:t>
            </w:r>
          </w:p>
        </w:tc>
        <w:tc>
          <w:tcPr>
            <w:tcW w:type="dxa" w:w="2872"/>
            <w:tcMar>
              <w:top w:w="80" w:type="dxa"/>
              <w:left w:w="80" w:type="dxa"/>
              <w:bottom w:w="80" w:type="dxa"/>
              <w:right w:w="80" w:type="dxa"/>
            </w:tcMar>
          </w:tcPr>
          <w:p>
            <w:pPr>
              <w:spacing w:after="60" w:line="240" w:lineRule="auto"/>
            </w:pPr>
            <w:r>
              <w:rPr>
                <w:b w:val="0"/>
                <w:i w:val="0"/>
                <w:sz w:val="19"/>
              </w:rPr>
              <w:t>+0.113 (p 0.8427)</w:t>
            </w:r>
          </w:p>
        </w:tc>
        <w:tc>
          <w:tcPr>
            <w:tcW w:type="dxa" w:w="2601"/>
            <w:tcMar>
              <w:top w:w="80" w:type="dxa"/>
              <w:left w:w="80" w:type="dxa"/>
              <w:bottom w:w="80" w:type="dxa"/>
              <w:right w:w="80" w:type="dxa"/>
            </w:tcMar>
          </w:tcPr>
          <w:p>
            <w:pPr>
              <w:spacing w:after="60" w:line="240" w:lineRule="auto"/>
            </w:pPr>
            <w:r>
              <w:rPr>
                <w:b w:val="0"/>
                <w:i w:val="0"/>
                <w:sz w:val="19"/>
              </w:rPr>
              <w:t>+1.133 (p 0.05944)</w:t>
            </w:r>
          </w:p>
        </w:tc>
        <w:tc>
          <w:tcPr>
            <w:tcW w:type="dxa" w:w="3096"/>
            <w:tcMar>
              <w:top w:w="80" w:type="dxa"/>
              <w:left w:w="80" w:type="dxa"/>
              <w:bottom w:w="80" w:type="dxa"/>
              <w:right w:w="80" w:type="dxa"/>
            </w:tcMar>
          </w:tcPr>
          <w:p>
            <w:pPr>
              <w:spacing w:after="60" w:line="240" w:lineRule="auto"/>
            </w:pPr>
            <w:r>
              <w:rPr>
                <w:b w:val="0"/>
                <w:i w:val="0"/>
                <w:sz w:val="19"/>
              </w:rPr>
              <w:t>+0.623 (p 0.1652)</w:t>
            </w:r>
          </w:p>
        </w:tc>
        <w:tc>
          <w:tcPr>
            <w:tcW w:type="dxa" w:w="3079"/>
            <w:tcMar>
              <w:top w:w="80" w:type="dxa"/>
              <w:left w:w="80" w:type="dxa"/>
              <w:bottom w:w="80" w:type="dxa"/>
              <w:right w:w="80" w:type="dxa"/>
            </w:tcMar>
          </w:tcPr>
          <w:p>
            <w:pPr>
              <w:spacing w:after="60" w:line="240" w:lineRule="auto"/>
            </w:pPr>
            <w:r>
              <w:rPr>
                <w:b w:val="0"/>
                <w:i w:val="0"/>
                <w:sz w:val="19"/>
              </w:rPr>
              <w:t>+0.113 (p 0.8427)</w:t>
            </w:r>
          </w:p>
        </w:tc>
      </w:tr>
      <w:tr>
        <w:trPr>
          <w:cantSplit/>
        </w:trPr>
        <w:tc>
          <w:tcPr>
            <w:tcW w:type="dxa" w:w="2469"/>
            <w:tcMar>
              <w:top w:w="80" w:type="dxa"/>
              <w:left w:w="80" w:type="dxa"/>
              <w:bottom w:w="80" w:type="dxa"/>
              <w:right w:w="80" w:type="dxa"/>
            </w:tcMar>
          </w:tcPr>
          <w:p>
            <w:pPr>
              <w:spacing w:after="60" w:line="240" w:lineRule="auto"/>
            </w:pPr>
            <w:r>
              <w:rPr>
                <w:b w:val="0"/>
                <w:i/>
                <w:sz w:val="19"/>
              </w:rPr>
              <w:t>NR4A3</w:t>
            </w:r>
          </w:p>
        </w:tc>
        <w:tc>
          <w:tcPr>
            <w:tcW w:type="dxa" w:w="2872"/>
            <w:tcMar>
              <w:top w:w="80" w:type="dxa"/>
              <w:left w:w="80" w:type="dxa"/>
              <w:bottom w:w="80" w:type="dxa"/>
              <w:right w:w="80" w:type="dxa"/>
            </w:tcMar>
          </w:tcPr>
          <w:p>
            <w:pPr>
              <w:spacing w:after="60" w:line="240" w:lineRule="auto"/>
            </w:pPr>
            <w:r>
              <w:rPr>
                <w:b w:val="0"/>
                <w:i w:val="0"/>
                <w:sz w:val="19"/>
              </w:rPr>
              <w:t>—</w:t>
            </w:r>
          </w:p>
        </w:tc>
        <w:tc>
          <w:tcPr>
            <w:tcW w:type="dxa" w:w="2601"/>
            <w:tcMar>
              <w:top w:w="80" w:type="dxa"/>
              <w:left w:w="80" w:type="dxa"/>
              <w:bottom w:w="80" w:type="dxa"/>
              <w:right w:w="80" w:type="dxa"/>
            </w:tcMar>
          </w:tcPr>
          <w:p>
            <w:pPr>
              <w:spacing w:after="60" w:line="240" w:lineRule="auto"/>
            </w:pPr>
            <w:r>
              <w:rPr>
                <w:b w:val="0"/>
                <w:i w:val="0"/>
                <w:sz w:val="19"/>
              </w:rPr>
              <w:t>—</w:t>
            </w:r>
          </w:p>
        </w:tc>
        <w:tc>
          <w:tcPr>
            <w:tcW w:type="dxa" w:w="3096"/>
            <w:tcMar>
              <w:top w:w="80" w:type="dxa"/>
              <w:left w:w="80" w:type="dxa"/>
              <w:bottom w:w="80" w:type="dxa"/>
              <w:right w:w="80" w:type="dxa"/>
            </w:tcMar>
          </w:tcPr>
          <w:p>
            <w:pPr>
              <w:spacing w:after="60" w:line="240" w:lineRule="auto"/>
            </w:pPr>
            <w:r>
              <w:rPr>
                <w:b w:val="0"/>
                <w:i w:val="0"/>
                <w:sz w:val="19"/>
              </w:rPr>
              <w:t>—</w:t>
            </w:r>
          </w:p>
        </w:tc>
        <w:tc>
          <w:tcPr>
            <w:tcW w:type="dxa" w:w="3079"/>
            <w:tcMar>
              <w:top w:w="80" w:type="dxa"/>
              <w:left w:w="80" w:type="dxa"/>
              <w:bottom w:w="80" w:type="dxa"/>
              <w:right w:w="80" w:type="dxa"/>
            </w:tcMar>
          </w:tcPr>
          <w:p>
            <w:pPr>
              <w:spacing w:after="60" w:line="240" w:lineRule="auto"/>
            </w:pPr>
            <w:r>
              <w:rPr>
                <w:b w:val="0"/>
                <w:i w:val="0"/>
                <w:sz w:val="19"/>
              </w:rPr>
              <w:t>—</w:t>
            </w:r>
          </w:p>
        </w:tc>
      </w:tr>
      <w:tr>
        <w:trPr>
          <w:cantSplit/>
        </w:trPr>
        <w:tc>
          <w:tcPr>
            <w:tcW w:type="dxa" w:w="2469"/>
            <w:tcMar>
              <w:top w:w="80" w:type="dxa"/>
              <w:left w:w="80" w:type="dxa"/>
              <w:bottom w:w="80" w:type="dxa"/>
              <w:right w:w="80" w:type="dxa"/>
            </w:tcMar>
          </w:tcPr>
          <w:p>
            <w:pPr>
              <w:spacing w:after="60" w:line="240" w:lineRule="auto"/>
            </w:pPr>
            <w:r>
              <w:rPr>
                <w:b w:val="0"/>
                <w:i/>
                <w:sz w:val="19"/>
              </w:rPr>
              <w:t>PLAGL1</w:t>
            </w:r>
          </w:p>
        </w:tc>
        <w:tc>
          <w:tcPr>
            <w:tcW w:type="dxa" w:w="2872"/>
            <w:tcMar>
              <w:top w:w="80" w:type="dxa"/>
              <w:left w:w="80" w:type="dxa"/>
              <w:bottom w:w="80" w:type="dxa"/>
              <w:right w:w="80" w:type="dxa"/>
            </w:tcMar>
          </w:tcPr>
          <w:p>
            <w:pPr>
              <w:spacing w:after="60" w:line="240" w:lineRule="auto"/>
            </w:pPr>
            <w:r>
              <w:rPr>
                <w:b w:val="0"/>
                <w:i w:val="0"/>
                <w:sz w:val="19"/>
              </w:rPr>
              <w:t>-1.659 (p 0.04242)</w:t>
            </w:r>
          </w:p>
        </w:tc>
        <w:tc>
          <w:tcPr>
            <w:tcW w:type="dxa" w:w="2601"/>
            <w:tcMar>
              <w:top w:w="80" w:type="dxa"/>
              <w:left w:w="80" w:type="dxa"/>
              <w:bottom w:w="80" w:type="dxa"/>
              <w:right w:w="80" w:type="dxa"/>
            </w:tcMar>
          </w:tcPr>
          <w:p>
            <w:pPr>
              <w:spacing w:after="60" w:line="240" w:lineRule="auto"/>
            </w:pPr>
            <w:r>
              <w:rPr>
                <w:b w:val="0"/>
                <w:i w:val="0"/>
                <w:sz w:val="19"/>
              </w:rPr>
              <w:t>-2.609 (p 0.006061)</w:t>
            </w:r>
          </w:p>
        </w:tc>
        <w:tc>
          <w:tcPr>
            <w:tcW w:type="dxa" w:w="3096"/>
            <w:tcMar>
              <w:top w:w="80" w:type="dxa"/>
              <w:left w:w="80" w:type="dxa"/>
              <w:bottom w:w="80" w:type="dxa"/>
              <w:right w:w="80" w:type="dxa"/>
            </w:tcMar>
          </w:tcPr>
          <w:p>
            <w:pPr>
              <w:spacing w:after="60" w:line="240" w:lineRule="auto"/>
            </w:pPr>
            <w:r>
              <w:rPr>
                <w:b w:val="0"/>
                <w:i w:val="0"/>
                <w:sz w:val="19"/>
              </w:rPr>
              <w:t>-2.134 (p 0.002331)</w:t>
            </w:r>
          </w:p>
        </w:tc>
        <w:tc>
          <w:tcPr>
            <w:tcW w:type="dxa" w:w="3079"/>
            <w:tcMar>
              <w:top w:w="80" w:type="dxa"/>
              <w:left w:w="80" w:type="dxa"/>
              <w:bottom w:w="80" w:type="dxa"/>
              <w:right w:w="80" w:type="dxa"/>
            </w:tcMar>
          </w:tcPr>
          <w:p>
            <w:pPr>
              <w:spacing w:after="60" w:line="240" w:lineRule="auto"/>
            </w:pPr>
            <w:r>
              <w:rPr>
                <w:b w:val="0"/>
                <w:i w:val="0"/>
                <w:sz w:val="19"/>
              </w:rPr>
              <w:t>-1.659 (p 0.04242)</w:t>
            </w:r>
          </w:p>
        </w:tc>
      </w:tr>
      <w:tr>
        <w:trPr>
          <w:cantSplit/>
        </w:trPr>
        <w:tc>
          <w:tcPr>
            <w:tcW w:type="dxa" w:w="2469"/>
            <w:tcMar>
              <w:top w:w="80" w:type="dxa"/>
              <w:left w:w="80" w:type="dxa"/>
              <w:bottom w:w="80" w:type="dxa"/>
              <w:right w:w="80" w:type="dxa"/>
            </w:tcMar>
          </w:tcPr>
          <w:p>
            <w:pPr>
              <w:spacing w:after="60" w:line="240" w:lineRule="auto"/>
            </w:pPr>
            <w:r>
              <w:rPr>
                <w:b w:val="0"/>
                <w:i/>
                <w:sz w:val="19"/>
              </w:rPr>
              <w:t>SGK1</w:t>
            </w:r>
          </w:p>
        </w:tc>
        <w:tc>
          <w:tcPr>
            <w:tcW w:type="dxa" w:w="2872"/>
            <w:tcMar>
              <w:top w:w="80" w:type="dxa"/>
              <w:left w:w="80" w:type="dxa"/>
              <w:bottom w:w="80" w:type="dxa"/>
              <w:right w:w="80" w:type="dxa"/>
            </w:tcMar>
          </w:tcPr>
          <w:p>
            <w:pPr>
              <w:spacing w:after="60" w:line="240" w:lineRule="auto"/>
            </w:pPr>
            <w:r>
              <w:rPr>
                <w:b w:val="0"/>
                <w:i w:val="0"/>
                <w:sz w:val="19"/>
              </w:rPr>
              <w:t>-0.198 (p 0.5804)</w:t>
            </w:r>
          </w:p>
        </w:tc>
        <w:tc>
          <w:tcPr>
            <w:tcW w:type="dxa" w:w="2601"/>
            <w:tcMar>
              <w:top w:w="80" w:type="dxa"/>
              <w:left w:w="80" w:type="dxa"/>
              <w:bottom w:w="80" w:type="dxa"/>
              <w:right w:w="80" w:type="dxa"/>
            </w:tcMar>
          </w:tcPr>
          <w:p>
            <w:pPr>
              <w:spacing w:after="60" w:line="240" w:lineRule="auto"/>
            </w:pPr>
            <w:r>
              <w:rPr>
                <w:b w:val="0"/>
                <w:i w:val="0"/>
                <w:sz w:val="19"/>
              </w:rPr>
              <w:t>+1.429 (p 0.01399)</w:t>
            </w:r>
          </w:p>
        </w:tc>
        <w:tc>
          <w:tcPr>
            <w:tcW w:type="dxa" w:w="3096"/>
            <w:tcMar>
              <w:top w:w="80" w:type="dxa"/>
              <w:left w:w="80" w:type="dxa"/>
              <w:bottom w:w="80" w:type="dxa"/>
              <w:right w:w="80" w:type="dxa"/>
            </w:tcMar>
          </w:tcPr>
          <w:p>
            <w:pPr>
              <w:spacing w:after="60" w:line="240" w:lineRule="auto"/>
            </w:pPr>
            <w:r>
              <w:rPr>
                <w:b w:val="0"/>
                <w:i w:val="0"/>
                <w:sz w:val="19"/>
              </w:rPr>
              <w:t>+0.616 (p 0.1558)</w:t>
            </w:r>
          </w:p>
        </w:tc>
        <w:tc>
          <w:tcPr>
            <w:tcW w:type="dxa" w:w="3079"/>
            <w:tcMar>
              <w:top w:w="80" w:type="dxa"/>
              <w:left w:w="80" w:type="dxa"/>
              <w:bottom w:w="80" w:type="dxa"/>
              <w:right w:w="80" w:type="dxa"/>
            </w:tcMar>
          </w:tcPr>
          <w:p>
            <w:pPr>
              <w:spacing w:after="60" w:line="240" w:lineRule="auto"/>
            </w:pPr>
            <w:r>
              <w:rPr>
                <w:b w:val="0"/>
                <w:i w:val="0"/>
                <w:sz w:val="19"/>
              </w:rPr>
              <w:t>-0.198 (p 0.5804)</w:t>
            </w:r>
          </w:p>
        </w:tc>
      </w:tr>
    </w:tbl>
    <w:p>
      <w:pPr>
        <w:pStyle w:val="Heading2"/>
      </w:pPr>
      <w:r>
        <w:rPr>
          <w:b w:val="0"/>
          <w:i w:val="0"/>
        </w:rPr>
        <w:t>TABLE S5 — covariate-adjusted sensitivity</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764"/>
        <w:gridCol w:w="1764"/>
        <w:gridCol w:w="1764"/>
        <w:gridCol w:w="1764"/>
        <w:gridCol w:w="1764"/>
        <w:gridCol w:w="1764"/>
        <w:gridCol w:w="1764"/>
        <w:gridCol w:w="1764"/>
      </w:tblGrid>
      <w:tr>
        <w:trPr>
          <w:cantSplit/>
          <w:tblHeader/>
        </w:trPr>
        <w:tc>
          <w:tcPr>
            <w:tcW w:type="dxa" w:w="1764"/>
            <w:tcMar>
              <w:top w:w="80" w:type="dxa"/>
              <w:left w:w="80" w:type="dxa"/>
              <w:bottom w:w="80" w:type="dxa"/>
              <w:right w:w="80" w:type="dxa"/>
            </w:tcMar>
          </w:tcPr>
          <w:p>
            <w:pPr>
              <w:keepNext/>
              <w:spacing w:after="60" w:line="240" w:lineRule="auto"/>
            </w:pPr>
            <w:r>
              <w:rPr>
                <w:b/>
                <w:i w:val="0"/>
                <w:sz w:val="19"/>
              </w:rPr>
              <w:t>platform</w:t>
            </w:r>
          </w:p>
        </w:tc>
        <w:tc>
          <w:tcPr>
            <w:tcW w:type="dxa" w:w="1764"/>
            <w:tcMar>
              <w:top w:w="80" w:type="dxa"/>
              <w:left w:w="80" w:type="dxa"/>
              <w:bottom w:w="80" w:type="dxa"/>
              <w:right w:w="80" w:type="dxa"/>
            </w:tcMar>
          </w:tcPr>
          <w:p>
            <w:pPr>
              <w:keepNext/>
              <w:spacing w:after="60" w:line="240" w:lineRule="auto"/>
            </w:pPr>
            <w:r>
              <w:rPr>
                <w:b/>
                <w:i w:val="0"/>
                <w:sz w:val="19"/>
              </w:rPr>
              <w:t>panel</w:t>
            </w:r>
          </w:p>
        </w:tc>
        <w:tc>
          <w:tcPr>
            <w:tcW w:type="dxa" w:w="1764"/>
            <w:tcMar>
              <w:top w:w="80" w:type="dxa"/>
              <w:left w:w="80" w:type="dxa"/>
              <w:bottom w:w="80" w:type="dxa"/>
              <w:right w:w="80" w:type="dxa"/>
            </w:tcMar>
          </w:tcPr>
          <w:p>
            <w:pPr>
              <w:keepNext/>
              <w:spacing w:after="60" w:line="240" w:lineRule="auto"/>
            </w:pPr>
            <w:r>
              <w:rPr>
                <w:b/>
                <w:i w:val="0"/>
                <w:sz w:val="19"/>
              </w:rPr>
              <w:t>arm separation Δ</w:t>
            </w:r>
          </w:p>
        </w:tc>
        <w:tc>
          <w:tcPr>
            <w:tcW w:type="dxa" w:w="1764"/>
            <w:tcMar>
              <w:top w:w="80" w:type="dxa"/>
              <w:left w:w="80" w:type="dxa"/>
              <w:bottom w:w="80" w:type="dxa"/>
              <w:right w:w="80" w:type="dxa"/>
            </w:tcMar>
          </w:tcPr>
          <w:p>
            <w:pPr>
              <w:keepNext/>
              <w:spacing w:after="60" w:line="240" w:lineRule="auto"/>
            </w:pPr>
            <w:r>
              <w:rPr>
                <w:b/>
                <w:i w:val="0"/>
                <w:sz w:val="19"/>
              </w:rPr>
              <w:t>gene</w:t>
            </w:r>
          </w:p>
        </w:tc>
        <w:tc>
          <w:tcPr>
            <w:tcW w:type="dxa" w:w="1764"/>
            <w:tcMar>
              <w:top w:w="80" w:type="dxa"/>
              <w:left w:w="80" w:type="dxa"/>
              <w:bottom w:w="80" w:type="dxa"/>
              <w:right w:w="80" w:type="dxa"/>
            </w:tcMar>
          </w:tcPr>
          <w:p>
            <w:pPr>
              <w:keepNext/>
              <w:spacing w:after="60" w:line="240" w:lineRule="auto"/>
            </w:pPr>
            <w:r>
              <w:rPr>
                <w:b/>
                <w:i w:val="0"/>
                <w:sz w:val="19"/>
              </w:rPr>
              <w:t>raw Δ</w:t>
            </w:r>
          </w:p>
        </w:tc>
        <w:tc>
          <w:tcPr>
            <w:tcW w:type="dxa" w:w="1764"/>
            <w:tcMar>
              <w:top w:w="80" w:type="dxa"/>
              <w:left w:w="80" w:type="dxa"/>
              <w:bottom w:w="80" w:type="dxa"/>
              <w:right w:w="80" w:type="dxa"/>
            </w:tcMar>
          </w:tcPr>
          <w:p>
            <w:pPr>
              <w:keepNext/>
              <w:spacing w:after="60" w:line="240" w:lineRule="auto"/>
            </w:pPr>
            <w:r>
              <w:rPr>
                <w:b/>
                <w:i w:val="0"/>
                <w:sz w:val="19"/>
              </w:rPr>
              <w:t>adjusted Δ</w:t>
            </w:r>
          </w:p>
        </w:tc>
        <w:tc>
          <w:tcPr>
            <w:tcW w:type="dxa" w:w="1764"/>
            <w:tcMar>
              <w:top w:w="80" w:type="dxa"/>
              <w:left w:w="80" w:type="dxa"/>
              <w:bottom w:w="80" w:type="dxa"/>
              <w:right w:w="80" w:type="dxa"/>
            </w:tcMar>
          </w:tcPr>
          <w:p>
            <w:pPr>
              <w:keepNext/>
              <w:spacing w:after="60" w:line="240" w:lineRule="auto"/>
            </w:pPr>
            <w:r>
              <w:rPr>
                <w:b/>
                <w:i w:val="0"/>
                <w:sz w:val="19"/>
              </w:rPr>
              <w:t>fraction retained</w:t>
            </w:r>
          </w:p>
        </w:tc>
        <w:tc>
          <w:tcPr>
            <w:tcW w:type="dxa" w:w="1764"/>
            <w:tcMar>
              <w:top w:w="80" w:type="dxa"/>
              <w:left w:w="80" w:type="dxa"/>
              <w:bottom w:w="80" w:type="dxa"/>
              <w:right w:w="80" w:type="dxa"/>
            </w:tcMar>
          </w:tcPr>
          <w:p>
            <w:pPr>
              <w:keepNext/>
              <w:spacing w:after="60" w:line="240" w:lineRule="auto"/>
            </w:pPr>
            <w:r>
              <w:rPr>
                <w:b/>
                <w:i w:val="0"/>
                <w:sz w:val="19"/>
              </w:rPr>
              <w:t>r(gene, proxy)</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+0.8074</w:t>
            </w:r>
          </w:p>
        </w:tc>
        <w:tc>
          <w:tcPr>
            <w:tcW w:type="dxa" w:w="1764"/>
            <w:tcMar>
              <w:top w:w="80" w:type="dxa"/>
              <w:left w:w="80" w:type="dxa"/>
              <w:bottom w:w="80" w:type="dxa"/>
              <w:right w:w="80" w:type="dxa"/>
            </w:tcMar>
          </w:tcPr>
          <w:p>
            <w:pPr>
              <w:spacing w:after="60" w:line="240" w:lineRule="auto"/>
            </w:pPr>
            <w:r>
              <w:rPr>
                <w:b w:val="0"/>
                <w:i w:val="0"/>
                <w:sz w:val="19"/>
              </w:rPr>
              <w:t>+0.6083</w:t>
            </w:r>
          </w:p>
        </w:tc>
        <w:tc>
          <w:tcPr>
            <w:tcW w:type="dxa" w:w="1764"/>
            <w:tcMar>
              <w:top w:w="80" w:type="dxa"/>
              <w:left w:w="80" w:type="dxa"/>
              <w:bottom w:w="80" w:type="dxa"/>
              <w:right w:w="80" w:type="dxa"/>
            </w:tcMar>
          </w:tcPr>
          <w:p>
            <w:pPr>
              <w:spacing w:after="60" w:line="240" w:lineRule="auto"/>
            </w:pPr>
            <w:r>
              <w:rPr>
                <w:b w:val="0"/>
                <w:i w:val="0"/>
                <w:sz w:val="19"/>
              </w:rPr>
              <w:t>0.753</w:t>
            </w:r>
          </w:p>
        </w:tc>
        <w:tc>
          <w:tcPr>
            <w:tcW w:type="dxa" w:w="1764"/>
            <w:tcMar>
              <w:top w:w="80" w:type="dxa"/>
              <w:left w:w="80" w:type="dxa"/>
              <w:bottom w:w="80" w:type="dxa"/>
              <w:right w:w="80" w:type="dxa"/>
            </w:tcMar>
          </w:tcPr>
          <w:p>
            <w:pPr>
              <w:spacing w:after="60" w:line="240" w:lineRule="auto"/>
            </w:pPr>
            <w:r>
              <w:rPr>
                <w:b w:val="0"/>
                <w:i w:val="0"/>
                <w:sz w:val="19"/>
              </w:rPr>
              <w:t>-0.368</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+0.3071</w:t>
            </w:r>
          </w:p>
        </w:tc>
        <w:tc>
          <w:tcPr>
            <w:tcW w:type="dxa" w:w="1764"/>
            <w:tcMar>
              <w:top w:w="80" w:type="dxa"/>
              <w:left w:w="80" w:type="dxa"/>
              <w:bottom w:w="80" w:type="dxa"/>
              <w:right w:w="80" w:type="dxa"/>
            </w:tcMar>
          </w:tcPr>
          <w:p>
            <w:pPr>
              <w:spacing w:after="60" w:line="240" w:lineRule="auto"/>
            </w:pPr>
            <w:r>
              <w:rPr>
                <w:b w:val="0"/>
                <w:i w:val="0"/>
                <w:sz w:val="19"/>
              </w:rPr>
              <w:t>+0.0992</w:t>
            </w:r>
          </w:p>
        </w:tc>
        <w:tc>
          <w:tcPr>
            <w:tcW w:type="dxa" w:w="1764"/>
            <w:tcMar>
              <w:top w:w="80" w:type="dxa"/>
              <w:left w:w="80" w:type="dxa"/>
              <w:bottom w:w="80" w:type="dxa"/>
              <w:right w:w="80" w:type="dxa"/>
            </w:tcMar>
          </w:tcPr>
          <w:p>
            <w:pPr>
              <w:spacing w:after="60" w:line="240" w:lineRule="auto"/>
            </w:pPr>
            <w:r>
              <w:rPr>
                <w:b w:val="0"/>
                <w:i w:val="0"/>
                <w:sz w:val="19"/>
              </w:rPr>
              <w:t>0.323</w:t>
            </w:r>
          </w:p>
        </w:tc>
        <w:tc>
          <w:tcPr>
            <w:tcW w:type="dxa" w:w="1764"/>
            <w:tcMar>
              <w:top w:w="80" w:type="dxa"/>
              <w:left w:w="80" w:type="dxa"/>
              <w:bottom w:w="80" w:type="dxa"/>
              <w:right w:w="80" w:type="dxa"/>
            </w:tcMar>
          </w:tcPr>
          <w:p>
            <w:pPr>
              <w:spacing w:after="60" w:line="240" w:lineRule="auto"/>
            </w:pPr>
            <w:r>
              <w:rPr>
                <w:b w:val="0"/>
                <w:i w:val="0"/>
                <w:sz w:val="19"/>
              </w:rPr>
              <w:t>-0.4798</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-0.5184</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+0.7298</w:t>
            </w:r>
          </w:p>
        </w:tc>
        <w:tc>
          <w:tcPr>
            <w:tcW w:type="dxa" w:w="1764"/>
            <w:tcMar>
              <w:top w:w="80" w:type="dxa"/>
              <w:left w:w="80" w:type="dxa"/>
              <w:bottom w:w="80" w:type="dxa"/>
              <w:right w:w="80" w:type="dxa"/>
            </w:tcMar>
          </w:tcPr>
          <w:p>
            <w:pPr>
              <w:spacing w:after="60" w:line="240" w:lineRule="auto"/>
            </w:pPr>
            <w:r>
              <w:rPr>
                <w:b w:val="0"/>
                <w:i w:val="0"/>
                <w:sz w:val="19"/>
              </w:rPr>
              <w:t>+1.2458</w:t>
            </w:r>
          </w:p>
        </w:tc>
        <w:tc>
          <w:tcPr>
            <w:tcW w:type="dxa" w:w="1764"/>
            <w:tcMar>
              <w:top w:w="80" w:type="dxa"/>
              <w:left w:w="80" w:type="dxa"/>
              <w:bottom w:w="80" w:type="dxa"/>
              <w:right w:w="80" w:type="dxa"/>
            </w:tcMar>
          </w:tcPr>
          <w:p>
            <w:pPr>
              <w:spacing w:after="60" w:line="240" w:lineRule="auto"/>
            </w:pPr>
            <w:r>
              <w:rPr>
                <w:b w:val="0"/>
                <w:i w:val="0"/>
                <w:sz w:val="19"/>
              </w:rPr>
              <w:t>1.707</w:t>
            </w:r>
          </w:p>
        </w:tc>
        <w:tc>
          <w:tcPr>
            <w:tcW w:type="dxa" w:w="1764"/>
            <w:tcMar>
              <w:top w:w="80" w:type="dxa"/>
              <w:left w:w="80" w:type="dxa"/>
              <w:bottom w:w="80" w:type="dxa"/>
              <w:right w:w="80" w:type="dxa"/>
            </w:tcMar>
          </w:tcPr>
          <w:p>
            <w:pPr>
              <w:spacing w:after="60" w:line="240" w:lineRule="auto"/>
            </w:pPr>
            <w:r>
              <w:rPr>
                <w:b w:val="0"/>
                <w:i w:val="0"/>
                <w:sz w:val="19"/>
              </w:rPr>
              <w:t>0.3354</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+0.8074</w:t>
            </w:r>
          </w:p>
        </w:tc>
        <w:tc>
          <w:tcPr>
            <w:tcW w:type="dxa" w:w="1764"/>
            <w:tcMar>
              <w:top w:w="80" w:type="dxa"/>
              <w:left w:w="80" w:type="dxa"/>
              <w:bottom w:w="80" w:type="dxa"/>
              <w:right w:w="80" w:type="dxa"/>
            </w:tcMar>
          </w:tcPr>
          <w:p>
            <w:pPr>
              <w:spacing w:after="60" w:line="240" w:lineRule="auto"/>
            </w:pPr>
            <w:r>
              <w:rPr>
                <w:b w:val="0"/>
                <w:i w:val="0"/>
                <w:sz w:val="19"/>
              </w:rPr>
              <w:t>+0.6294</w:t>
            </w:r>
          </w:p>
        </w:tc>
        <w:tc>
          <w:tcPr>
            <w:tcW w:type="dxa" w:w="1764"/>
            <w:tcMar>
              <w:top w:w="80" w:type="dxa"/>
              <w:left w:w="80" w:type="dxa"/>
              <w:bottom w:w="80" w:type="dxa"/>
              <w:right w:w="80" w:type="dxa"/>
            </w:tcMar>
          </w:tcPr>
          <w:p>
            <w:pPr>
              <w:spacing w:after="60" w:line="240" w:lineRule="auto"/>
            </w:pPr>
            <w:r>
              <w:rPr>
                <w:b w:val="0"/>
                <w:i w:val="0"/>
                <w:sz w:val="19"/>
              </w:rPr>
              <w:t>0.78</w:t>
            </w:r>
          </w:p>
        </w:tc>
        <w:tc>
          <w:tcPr>
            <w:tcW w:type="dxa" w:w="1764"/>
            <w:tcMar>
              <w:top w:w="80" w:type="dxa"/>
              <w:left w:w="80" w:type="dxa"/>
              <w:bottom w:w="80" w:type="dxa"/>
              <w:right w:w="80" w:type="dxa"/>
            </w:tcMar>
          </w:tcPr>
          <w:p>
            <w:pPr>
              <w:spacing w:after="60" w:line="240" w:lineRule="auto"/>
            </w:pPr>
            <w:r>
              <w:rPr>
                <w:b w:val="0"/>
                <w:i w:val="0"/>
                <w:sz w:val="19"/>
              </w:rPr>
              <w:t>-0.3236</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+0.3071</w:t>
            </w:r>
          </w:p>
        </w:tc>
        <w:tc>
          <w:tcPr>
            <w:tcW w:type="dxa" w:w="1764"/>
            <w:tcMar>
              <w:top w:w="80" w:type="dxa"/>
              <w:left w:w="80" w:type="dxa"/>
              <w:bottom w:w="80" w:type="dxa"/>
              <w:right w:w="80" w:type="dxa"/>
            </w:tcMar>
          </w:tcPr>
          <w:p>
            <w:pPr>
              <w:spacing w:after="60" w:line="240" w:lineRule="auto"/>
            </w:pPr>
            <w:r>
              <w:rPr>
                <w:b w:val="0"/>
                <w:i w:val="0"/>
                <w:sz w:val="19"/>
              </w:rPr>
              <w:t>+0.0917</w:t>
            </w:r>
          </w:p>
        </w:tc>
        <w:tc>
          <w:tcPr>
            <w:tcW w:type="dxa" w:w="1764"/>
            <w:tcMar>
              <w:top w:w="80" w:type="dxa"/>
              <w:left w:w="80" w:type="dxa"/>
              <w:bottom w:w="80" w:type="dxa"/>
              <w:right w:w="80" w:type="dxa"/>
            </w:tcMar>
          </w:tcPr>
          <w:p>
            <w:pPr>
              <w:spacing w:after="60" w:line="240" w:lineRule="auto"/>
            </w:pPr>
            <w:r>
              <w:rPr>
                <w:b w:val="0"/>
                <w:i w:val="0"/>
                <w:sz w:val="19"/>
              </w:rPr>
              <w:t>0.299</w:t>
            </w:r>
          </w:p>
        </w:tc>
        <w:tc>
          <w:tcPr>
            <w:tcW w:type="dxa" w:w="1764"/>
            <w:tcMar>
              <w:top w:w="80" w:type="dxa"/>
              <w:left w:w="80" w:type="dxa"/>
              <w:bottom w:w="80" w:type="dxa"/>
              <w:right w:w="80" w:type="dxa"/>
            </w:tcMar>
          </w:tcPr>
          <w:p>
            <w:pPr>
              <w:spacing w:after="60" w:line="240" w:lineRule="auto"/>
            </w:pPr>
            <w:r>
              <w:rPr>
                <w:b w:val="0"/>
                <w:i w:val="0"/>
                <w:sz w:val="19"/>
              </w:rPr>
              <w:t>-0.489</w:t>
            </w:r>
          </w:p>
        </w:tc>
      </w:tr>
      <w:tr>
        <w:trPr>
          <w:cantSplit/>
        </w:trPr>
        <w:tc>
          <w:tcPr>
            <w:tcW w:type="dxa" w:w="1764"/>
            <w:tcMar>
              <w:top w:w="80" w:type="dxa"/>
              <w:left w:w="80" w:type="dxa"/>
              <w:bottom w:w="80" w:type="dxa"/>
              <w:right w:w="80" w:type="dxa"/>
            </w:tcMar>
          </w:tcPr>
          <w:p>
            <w:pPr>
              <w:spacing w:after="60" w:line="240" w:lineRule="auto"/>
            </w:pPr>
            <w:r>
              <w:rPr>
                <w:b w:val="0"/>
                <w:i w:val="0"/>
                <w:sz w:val="19"/>
              </w:rPr>
              <w:t>GPL6244</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-0.4057</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+0.7298</w:t>
            </w:r>
          </w:p>
        </w:tc>
        <w:tc>
          <w:tcPr>
            <w:tcW w:type="dxa" w:w="1764"/>
            <w:tcMar>
              <w:top w:w="80" w:type="dxa"/>
              <w:left w:w="80" w:type="dxa"/>
              <w:bottom w:w="80" w:type="dxa"/>
              <w:right w:w="80" w:type="dxa"/>
            </w:tcMar>
          </w:tcPr>
          <w:p>
            <w:pPr>
              <w:spacing w:after="60" w:line="240" w:lineRule="auto"/>
            </w:pPr>
            <w:r>
              <w:rPr>
                <w:b w:val="0"/>
                <w:i w:val="0"/>
                <w:sz w:val="19"/>
              </w:rPr>
              <w:t>+1.3789</w:t>
            </w:r>
          </w:p>
        </w:tc>
        <w:tc>
          <w:tcPr>
            <w:tcW w:type="dxa" w:w="1764"/>
            <w:tcMar>
              <w:top w:w="80" w:type="dxa"/>
              <w:left w:w="80" w:type="dxa"/>
              <w:bottom w:w="80" w:type="dxa"/>
              <w:right w:w="80" w:type="dxa"/>
            </w:tcMar>
          </w:tcPr>
          <w:p>
            <w:pPr>
              <w:spacing w:after="60" w:line="240" w:lineRule="auto"/>
            </w:pPr>
            <w:r>
              <w:rPr>
                <w:b w:val="0"/>
                <w:i w:val="0"/>
                <w:sz w:val="19"/>
              </w:rPr>
              <w:t>1.889</w:t>
            </w:r>
          </w:p>
        </w:tc>
        <w:tc>
          <w:tcPr>
            <w:tcW w:type="dxa" w:w="1764"/>
            <w:tcMar>
              <w:top w:w="80" w:type="dxa"/>
              <w:left w:w="80" w:type="dxa"/>
              <w:bottom w:w="80" w:type="dxa"/>
              <w:right w:w="80" w:type="dxa"/>
            </w:tcMar>
          </w:tcPr>
          <w:p>
            <w:pPr>
              <w:spacing w:after="60" w:line="240" w:lineRule="auto"/>
            </w:pPr>
            <w:r>
              <w:rPr>
                <w:b w:val="0"/>
                <w:i w:val="0"/>
                <w:sz w:val="19"/>
              </w:rPr>
              <w:t>0.4152</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+3.8113</w:t>
            </w:r>
          </w:p>
        </w:tc>
        <w:tc>
          <w:tcPr>
            <w:tcW w:type="dxa" w:w="1764"/>
            <w:tcMar>
              <w:top w:w="80" w:type="dxa"/>
              <w:left w:w="80" w:type="dxa"/>
              <w:bottom w:w="80" w:type="dxa"/>
              <w:right w:w="80" w:type="dxa"/>
            </w:tcMar>
          </w:tcPr>
          <w:p>
            <w:pPr>
              <w:spacing w:after="60" w:line="240" w:lineRule="auto"/>
            </w:pPr>
            <w:r>
              <w:rPr>
                <w:b w:val="0"/>
                <w:i w:val="0"/>
                <w:sz w:val="19"/>
              </w:rPr>
              <w:t>+3.8123</w:t>
            </w:r>
          </w:p>
        </w:tc>
        <w:tc>
          <w:tcPr>
            <w:tcW w:type="dxa" w:w="1764"/>
            <w:tcMar>
              <w:top w:w="80" w:type="dxa"/>
              <w:left w:w="80" w:type="dxa"/>
              <w:bottom w:w="80" w:type="dxa"/>
              <w:right w:w="80" w:type="dxa"/>
            </w:tcMar>
          </w:tcPr>
          <w:p>
            <w:pPr>
              <w:spacing w:after="60" w:line="240" w:lineRule="auto"/>
            </w:pPr>
            <w:r>
              <w:rPr>
                <w:b w:val="0"/>
                <w:i w:val="0"/>
                <w:sz w:val="19"/>
              </w:rPr>
              <w:t>1.0</w:t>
            </w:r>
          </w:p>
        </w:tc>
        <w:tc>
          <w:tcPr>
            <w:tcW w:type="dxa" w:w="1764"/>
            <w:tcMar>
              <w:top w:w="80" w:type="dxa"/>
              <w:left w:w="80" w:type="dxa"/>
              <w:bottom w:w="80" w:type="dxa"/>
              <w:right w:w="80" w:type="dxa"/>
            </w:tcMar>
          </w:tcPr>
          <w:p>
            <w:pPr>
              <w:spacing w:after="60" w:line="240" w:lineRule="auto"/>
            </w:pPr>
            <w:r>
              <w:rPr>
                <w:b w:val="0"/>
                <w:i w:val="0"/>
                <w:sz w:val="19"/>
              </w:rPr>
              <w:t>-0.036</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+2.4809</w:t>
            </w:r>
          </w:p>
        </w:tc>
        <w:tc>
          <w:tcPr>
            <w:tcW w:type="dxa" w:w="1764"/>
            <w:tcMar>
              <w:top w:w="80" w:type="dxa"/>
              <w:left w:w="80" w:type="dxa"/>
              <w:bottom w:w="80" w:type="dxa"/>
              <w:right w:w="80" w:type="dxa"/>
            </w:tcMar>
          </w:tcPr>
          <w:p>
            <w:pPr>
              <w:spacing w:after="60" w:line="240" w:lineRule="auto"/>
            </w:pPr>
            <w:r>
              <w:rPr>
                <w:b w:val="0"/>
                <w:i w:val="0"/>
                <w:sz w:val="19"/>
              </w:rPr>
              <w:t>+2.3939</w:t>
            </w:r>
          </w:p>
        </w:tc>
        <w:tc>
          <w:tcPr>
            <w:tcW w:type="dxa" w:w="1764"/>
            <w:tcMar>
              <w:top w:w="80" w:type="dxa"/>
              <w:left w:w="80" w:type="dxa"/>
              <w:bottom w:w="80" w:type="dxa"/>
              <w:right w:w="80" w:type="dxa"/>
            </w:tcMar>
          </w:tcPr>
          <w:p>
            <w:pPr>
              <w:spacing w:after="60" w:line="240" w:lineRule="auto"/>
            </w:pPr>
            <w:r>
              <w:rPr>
                <w:b w:val="0"/>
                <w:i w:val="0"/>
                <w:sz w:val="19"/>
              </w:rPr>
              <w:t>0.965</w:t>
            </w:r>
          </w:p>
        </w:tc>
        <w:tc>
          <w:tcPr>
            <w:tcW w:type="dxa" w:w="1764"/>
            <w:tcMar>
              <w:top w:w="80" w:type="dxa"/>
              <w:left w:w="80" w:type="dxa"/>
              <w:bottom w:w="80" w:type="dxa"/>
              <w:right w:w="80" w:type="dxa"/>
            </w:tcMar>
          </w:tcPr>
          <w:p>
            <w:pPr>
              <w:spacing w:after="60" w:line="240" w:lineRule="auto"/>
            </w:pPr>
            <w:r>
              <w:rPr>
                <w:b w:val="0"/>
                <w:i w:val="0"/>
                <w:sz w:val="19"/>
              </w:rPr>
              <w:t>-0.2575</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matrix (11)</w:t>
            </w:r>
          </w:p>
        </w:tc>
        <w:tc>
          <w:tcPr>
            <w:tcW w:type="dxa" w:w="1764"/>
            <w:tcMar>
              <w:top w:w="80" w:type="dxa"/>
              <w:left w:w="80" w:type="dxa"/>
              <w:bottom w:w="80" w:type="dxa"/>
              <w:right w:w="80" w:type="dxa"/>
            </w:tcMar>
          </w:tcPr>
          <w:p>
            <w:pPr>
              <w:spacing w:after="60" w:line="240" w:lineRule="auto"/>
            </w:pPr>
            <w:r>
              <w:rPr>
                <w:b w:val="0"/>
                <w:i w:val="0"/>
                <w:sz w:val="19"/>
              </w:rPr>
              <w:t>+0.0064</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+0.6228</w:t>
            </w:r>
          </w:p>
        </w:tc>
        <w:tc>
          <w:tcPr>
            <w:tcW w:type="dxa" w:w="1764"/>
            <w:tcMar>
              <w:top w:w="80" w:type="dxa"/>
              <w:left w:w="80" w:type="dxa"/>
              <w:bottom w:w="80" w:type="dxa"/>
              <w:right w:w="80" w:type="dxa"/>
            </w:tcMar>
          </w:tcPr>
          <w:p>
            <w:pPr>
              <w:spacing w:after="60" w:line="240" w:lineRule="auto"/>
            </w:pPr>
            <w:r>
              <w:rPr>
                <w:b w:val="0"/>
                <w:i w:val="0"/>
                <w:sz w:val="19"/>
              </w:rPr>
              <w:t>+0.6148</w:t>
            </w:r>
          </w:p>
        </w:tc>
        <w:tc>
          <w:tcPr>
            <w:tcW w:type="dxa" w:w="1764"/>
            <w:tcMar>
              <w:top w:w="80" w:type="dxa"/>
              <w:left w:w="80" w:type="dxa"/>
              <w:bottom w:w="80" w:type="dxa"/>
              <w:right w:w="80" w:type="dxa"/>
            </w:tcMar>
          </w:tcPr>
          <w:p>
            <w:pPr>
              <w:spacing w:after="60" w:line="240" w:lineRule="auto"/>
            </w:pPr>
            <w:r>
              <w:rPr>
                <w:b w:val="0"/>
                <w:i w:val="0"/>
                <w:sz w:val="19"/>
              </w:rPr>
              <w:t>0.987</w:t>
            </w:r>
          </w:p>
        </w:tc>
        <w:tc>
          <w:tcPr>
            <w:tcW w:type="dxa" w:w="1764"/>
            <w:tcMar>
              <w:top w:w="80" w:type="dxa"/>
              <w:left w:w="80" w:type="dxa"/>
              <w:bottom w:w="80" w:type="dxa"/>
              <w:right w:w="80" w:type="dxa"/>
            </w:tcMar>
          </w:tcPr>
          <w:p>
            <w:pPr>
              <w:spacing w:after="60" w:line="240" w:lineRule="auto"/>
            </w:pPr>
            <w:r>
              <w:rPr>
                <w:b w:val="0"/>
                <w:i w:val="0"/>
                <w:sz w:val="19"/>
              </w:rPr>
              <w:t>0.6605</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ENO3</w:t>
            </w:r>
          </w:p>
        </w:tc>
        <w:tc>
          <w:tcPr>
            <w:tcW w:type="dxa" w:w="1764"/>
            <w:tcMar>
              <w:top w:w="80" w:type="dxa"/>
              <w:left w:w="80" w:type="dxa"/>
              <w:bottom w:w="80" w:type="dxa"/>
              <w:right w:w="80" w:type="dxa"/>
            </w:tcMar>
          </w:tcPr>
          <w:p>
            <w:pPr>
              <w:spacing w:after="60" w:line="240" w:lineRule="auto"/>
            </w:pPr>
            <w:r>
              <w:rPr>
                <w:b w:val="0"/>
                <w:i w:val="0"/>
                <w:sz w:val="19"/>
              </w:rPr>
              <w:t>+3.8113</w:t>
            </w:r>
          </w:p>
        </w:tc>
        <w:tc>
          <w:tcPr>
            <w:tcW w:type="dxa" w:w="1764"/>
            <w:tcMar>
              <w:top w:w="80" w:type="dxa"/>
              <w:left w:w="80" w:type="dxa"/>
              <w:bottom w:w="80" w:type="dxa"/>
              <w:right w:w="80" w:type="dxa"/>
            </w:tcMar>
          </w:tcPr>
          <w:p>
            <w:pPr>
              <w:spacing w:after="60" w:line="240" w:lineRule="auto"/>
            </w:pPr>
            <w:r>
              <w:rPr>
                <w:b w:val="0"/>
                <w:i w:val="0"/>
                <w:sz w:val="19"/>
              </w:rPr>
              <w:t>+2.2190</w:t>
            </w:r>
          </w:p>
        </w:tc>
        <w:tc>
          <w:tcPr>
            <w:tcW w:type="dxa" w:w="1764"/>
            <w:tcMar>
              <w:top w:w="80" w:type="dxa"/>
              <w:left w:w="80" w:type="dxa"/>
              <w:bottom w:w="80" w:type="dxa"/>
              <w:right w:w="80" w:type="dxa"/>
            </w:tcMar>
          </w:tcPr>
          <w:p>
            <w:pPr>
              <w:spacing w:after="60" w:line="240" w:lineRule="auto"/>
            </w:pPr>
            <w:r>
              <w:rPr>
                <w:b w:val="0"/>
                <w:i w:val="0"/>
                <w:sz w:val="19"/>
              </w:rPr>
              <w:t>0.582</w:t>
            </w:r>
          </w:p>
        </w:tc>
        <w:tc>
          <w:tcPr>
            <w:tcW w:type="dxa" w:w="1764"/>
            <w:tcMar>
              <w:top w:w="80" w:type="dxa"/>
              <w:left w:w="80" w:type="dxa"/>
              <w:bottom w:w="80" w:type="dxa"/>
              <w:right w:w="80" w:type="dxa"/>
            </w:tcMar>
          </w:tcPr>
          <w:p>
            <w:pPr>
              <w:spacing w:after="60" w:line="240" w:lineRule="auto"/>
            </w:pPr>
            <w:r>
              <w:rPr>
                <w:b w:val="0"/>
                <w:i w:val="0"/>
                <w:sz w:val="19"/>
              </w:rPr>
              <w:t>-0.5888</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PPARG</w:t>
            </w:r>
          </w:p>
        </w:tc>
        <w:tc>
          <w:tcPr>
            <w:tcW w:type="dxa" w:w="1764"/>
            <w:tcMar>
              <w:top w:w="80" w:type="dxa"/>
              <w:left w:w="80" w:type="dxa"/>
              <w:bottom w:w="80" w:type="dxa"/>
              <w:right w:w="80" w:type="dxa"/>
            </w:tcMar>
          </w:tcPr>
          <w:p>
            <w:pPr>
              <w:spacing w:after="60" w:line="240" w:lineRule="auto"/>
            </w:pPr>
            <w:r>
              <w:rPr>
                <w:b w:val="0"/>
                <w:i w:val="0"/>
                <w:sz w:val="19"/>
              </w:rPr>
              <w:t>+2.4809</w:t>
            </w:r>
          </w:p>
        </w:tc>
        <w:tc>
          <w:tcPr>
            <w:tcW w:type="dxa" w:w="1764"/>
            <w:tcMar>
              <w:top w:w="80" w:type="dxa"/>
              <w:left w:w="80" w:type="dxa"/>
              <w:bottom w:w="80" w:type="dxa"/>
              <w:right w:w="80" w:type="dxa"/>
            </w:tcMar>
          </w:tcPr>
          <w:p>
            <w:pPr>
              <w:spacing w:after="60" w:line="240" w:lineRule="auto"/>
            </w:pPr>
            <w:r>
              <w:rPr>
                <w:b w:val="0"/>
                <w:i w:val="0"/>
                <w:sz w:val="19"/>
              </w:rPr>
              <w:t>+1.0323</w:t>
            </w:r>
          </w:p>
        </w:tc>
        <w:tc>
          <w:tcPr>
            <w:tcW w:type="dxa" w:w="1764"/>
            <w:tcMar>
              <w:top w:w="80" w:type="dxa"/>
              <w:left w:w="80" w:type="dxa"/>
              <w:bottom w:w="80" w:type="dxa"/>
              <w:right w:w="80" w:type="dxa"/>
            </w:tcMar>
          </w:tcPr>
          <w:p>
            <w:pPr>
              <w:spacing w:after="60" w:line="240" w:lineRule="auto"/>
            </w:pPr>
            <w:r>
              <w:rPr>
                <w:b w:val="0"/>
                <w:i w:val="0"/>
                <w:sz w:val="19"/>
              </w:rPr>
              <w:t>0.416</w:t>
            </w:r>
          </w:p>
        </w:tc>
        <w:tc>
          <w:tcPr>
            <w:tcW w:type="dxa" w:w="1764"/>
            <w:tcMar>
              <w:top w:w="80" w:type="dxa"/>
              <w:left w:w="80" w:type="dxa"/>
              <w:bottom w:w="80" w:type="dxa"/>
              <w:right w:w="80" w:type="dxa"/>
            </w:tcMar>
          </w:tcPr>
          <w:p>
            <w:pPr>
              <w:spacing w:after="60" w:line="240" w:lineRule="auto"/>
            </w:pPr>
            <w:r>
              <w:rPr>
                <w:b w:val="0"/>
                <w:i w:val="0"/>
                <w:sz w:val="19"/>
              </w:rPr>
              <w:t>-0.7026</w:t>
            </w:r>
          </w:p>
        </w:tc>
      </w:tr>
      <w:tr>
        <w:trPr>
          <w:cantSplit/>
        </w:trPr>
        <w:tc>
          <w:tcPr>
            <w:tcW w:type="dxa" w:w="1764"/>
            <w:tcMar>
              <w:top w:w="80" w:type="dxa"/>
              <w:left w:w="80" w:type="dxa"/>
              <w:bottom w:w="80" w:type="dxa"/>
              <w:right w:w="80" w:type="dxa"/>
            </w:tcMar>
          </w:tcPr>
          <w:p>
            <w:pPr>
              <w:spacing w:after="60" w:line="240" w:lineRule="auto"/>
            </w:pPr>
            <w:r>
              <w:rPr>
                <w:b w:val="0"/>
                <w:i w:val="0"/>
                <w:sz w:val="19"/>
              </w:rPr>
              <w:t>GPL3290</w:t>
            </w:r>
          </w:p>
        </w:tc>
        <w:tc>
          <w:tcPr>
            <w:tcW w:type="dxa" w:w="1764"/>
            <w:tcMar>
              <w:top w:w="80" w:type="dxa"/>
              <w:left w:w="80" w:type="dxa"/>
              <w:bottom w:w="80" w:type="dxa"/>
              <w:right w:w="80" w:type="dxa"/>
            </w:tcMar>
          </w:tcPr>
          <w:p>
            <w:pPr>
              <w:spacing w:after="60" w:line="240" w:lineRule="auto"/>
            </w:pPr>
            <w:r>
              <w:rPr>
                <w:b w:val="0"/>
                <w:i w:val="0"/>
                <w:sz w:val="19"/>
              </w:rPr>
              <w:t>vascular (3)</w:t>
            </w:r>
          </w:p>
        </w:tc>
        <w:tc>
          <w:tcPr>
            <w:tcW w:type="dxa" w:w="1764"/>
            <w:tcMar>
              <w:top w:w="80" w:type="dxa"/>
              <w:left w:w="80" w:type="dxa"/>
              <w:bottom w:w="80" w:type="dxa"/>
              <w:right w:w="80" w:type="dxa"/>
            </w:tcMar>
          </w:tcPr>
          <w:p>
            <w:pPr>
              <w:spacing w:after="60" w:line="240" w:lineRule="auto"/>
            </w:pPr>
            <w:r>
              <w:rPr>
                <w:b w:val="0"/>
                <w:i w:val="0"/>
                <w:sz w:val="19"/>
              </w:rPr>
              <w:t>-0.7962</w:t>
            </w:r>
          </w:p>
        </w:tc>
        <w:tc>
          <w:tcPr>
            <w:tcW w:type="dxa" w:w="1764"/>
            <w:tcMar>
              <w:top w:w="80" w:type="dxa"/>
              <w:left w:w="80" w:type="dxa"/>
              <w:bottom w:w="80" w:type="dxa"/>
              <w:right w:w="80" w:type="dxa"/>
            </w:tcMar>
          </w:tcPr>
          <w:p>
            <w:pPr>
              <w:spacing w:after="60" w:line="240" w:lineRule="auto"/>
            </w:pPr>
            <w:r>
              <w:rPr>
                <w:b w:val="0"/>
                <w:i/>
                <w:sz w:val="19"/>
              </w:rPr>
              <w:t>SEMA3C</w:t>
            </w:r>
          </w:p>
        </w:tc>
        <w:tc>
          <w:tcPr>
            <w:tcW w:type="dxa" w:w="1764"/>
            <w:tcMar>
              <w:top w:w="80" w:type="dxa"/>
              <w:left w:w="80" w:type="dxa"/>
              <w:bottom w:w="80" w:type="dxa"/>
              <w:right w:w="80" w:type="dxa"/>
            </w:tcMar>
          </w:tcPr>
          <w:p>
            <w:pPr>
              <w:spacing w:after="60" w:line="240" w:lineRule="auto"/>
            </w:pPr>
            <w:r>
              <w:rPr>
                <w:b w:val="0"/>
                <w:i w:val="0"/>
                <w:sz w:val="19"/>
              </w:rPr>
              <w:t>+0.6228</w:t>
            </w:r>
          </w:p>
        </w:tc>
        <w:tc>
          <w:tcPr>
            <w:tcW w:type="dxa" w:w="1764"/>
            <w:tcMar>
              <w:top w:w="80" w:type="dxa"/>
              <w:left w:w="80" w:type="dxa"/>
              <w:bottom w:w="80" w:type="dxa"/>
              <w:right w:w="80" w:type="dxa"/>
            </w:tcMar>
          </w:tcPr>
          <w:p>
            <w:pPr>
              <w:spacing w:after="60" w:line="240" w:lineRule="auto"/>
            </w:pPr>
            <w:r>
              <w:rPr>
                <w:b w:val="0"/>
                <w:i w:val="0"/>
                <w:sz w:val="19"/>
              </w:rPr>
              <w:t>+0.5283</w:t>
            </w:r>
          </w:p>
        </w:tc>
        <w:tc>
          <w:tcPr>
            <w:tcW w:type="dxa" w:w="1764"/>
            <w:tcMar>
              <w:top w:w="80" w:type="dxa"/>
              <w:left w:w="80" w:type="dxa"/>
              <w:bottom w:w="80" w:type="dxa"/>
              <w:right w:w="80" w:type="dxa"/>
            </w:tcMar>
          </w:tcPr>
          <w:p>
            <w:pPr>
              <w:spacing w:after="60" w:line="240" w:lineRule="auto"/>
            </w:pPr>
            <w:r>
              <w:rPr>
                <w:b w:val="0"/>
                <w:i w:val="0"/>
                <w:sz w:val="19"/>
              </w:rPr>
              <w:t>0.848</w:t>
            </w:r>
          </w:p>
        </w:tc>
        <w:tc>
          <w:tcPr>
            <w:tcW w:type="dxa" w:w="1764"/>
            <w:tcMar>
              <w:top w:w="80" w:type="dxa"/>
              <w:left w:w="80" w:type="dxa"/>
              <w:bottom w:w="80" w:type="dxa"/>
              <w:right w:w="80" w:type="dxa"/>
            </w:tcMar>
          </w:tcPr>
          <w:p>
            <w:pPr>
              <w:spacing w:after="60" w:line="240" w:lineRule="auto"/>
            </w:pPr>
            <w:r>
              <w:rPr>
                <w:b w:val="0"/>
                <w:i w:val="0"/>
                <w:sz w:val="19"/>
              </w:rPr>
              <w:t>-0.0809</w:t>
            </w:r>
          </w:p>
        </w:tc>
      </w:tr>
    </w:tbl>
    <w:p>
      <w:pPr>
        <w:pStyle w:val="Heading2"/>
      </w:pPr>
      <w:r>
        <w:rPr>
          <w:b w:val="0"/>
          <w:i w:val="0"/>
        </w:rPr>
        <w:t>TABLE S6 — the skeletal-muscle admixture control (GPL6244)</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353"/>
        <w:gridCol w:w="2353"/>
        <w:gridCol w:w="2353"/>
        <w:gridCol w:w="2353"/>
        <w:gridCol w:w="2353"/>
        <w:gridCol w:w="2353"/>
      </w:tblGrid>
      <w:tr>
        <w:trPr>
          <w:cantSplit/>
          <w:tblHeader/>
        </w:trPr>
        <w:tc>
          <w:tcPr>
            <w:tcW w:type="dxa" w:w="2353"/>
            <w:tcMar>
              <w:top w:w="80" w:type="dxa"/>
              <w:left w:w="80" w:type="dxa"/>
              <w:bottom w:w="80" w:type="dxa"/>
              <w:right w:w="80" w:type="dxa"/>
            </w:tcMar>
          </w:tcPr>
          <w:p>
            <w:pPr>
              <w:keepNext/>
              <w:spacing w:after="60" w:line="240" w:lineRule="auto"/>
            </w:pPr>
            <w:r>
              <w:rPr>
                <w:b/>
                <w:i w:val="0"/>
                <w:sz w:val="19"/>
              </w:rPr>
              <w:t>gene</w:t>
            </w:r>
          </w:p>
        </w:tc>
        <w:tc>
          <w:tcPr>
            <w:tcW w:type="dxa" w:w="2353"/>
            <w:tcMar>
              <w:top w:w="80" w:type="dxa"/>
              <w:left w:w="80" w:type="dxa"/>
              <w:bottom w:w="80" w:type="dxa"/>
              <w:right w:w="80" w:type="dxa"/>
            </w:tcMar>
          </w:tcPr>
          <w:p>
            <w:pPr>
              <w:keepNext/>
              <w:spacing w:after="60" w:line="240" w:lineRule="auto"/>
            </w:pPr>
            <w:r>
              <w:rPr>
                <w:b/>
                <w:i w:val="0"/>
                <w:sz w:val="19"/>
              </w:rPr>
              <w:t>muscle-marker?</w:t>
            </w:r>
          </w:p>
        </w:tc>
        <w:tc>
          <w:tcPr>
            <w:tcW w:type="dxa" w:w="2353"/>
            <w:tcMar>
              <w:top w:w="80" w:type="dxa"/>
              <w:left w:w="80" w:type="dxa"/>
              <w:bottom w:w="80" w:type="dxa"/>
              <w:right w:w="80" w:type="dxa"/>
            </w:tcMar>
          </w:tcPr>
          <w:p>
            <w:pPr>
              <w:keepNext/>
              <w:spacing w:after="60" w:line="240" w:lineRule="auto"/>
            </w:pPr>
            <w:r>
              <w:rPr>
                <w:b/>
                <w:i w:val="0"/>
                <w:sz w:val="19"/>
              </w:rPr>
              <w:t>mean percentile in the 2 pooled muscle samples</w:t>
            </w:r>
          </w:p>
        </w:tc>
        <w:tc>
          <w:tcPr>
            <w:tcW w:type="dxa" w:w="2353"/>
            <w:tcMar>
              <w:top w:w="80" w:type="dxa"/>
              <w:left w:w="80" w:type="dxa"/>
              <w:bottom w:w="80" w:type="dxa"/>
              <w:right w:w="80" w:type="dxa"/>
            </w:tcMar>
          </w:tcPr>
          <w:p>
            <w:pPr>
              <w:keepNext/>
              <w:spacing w:after="60" w:line="240" w:lineRule="auto"/>
            </w:pPr>
            <w:r>
              <w:rPr>
                <w:b/>
                <w:i w:val="0"/>
                <w:sz w:val="19"/>
              </w:rPr>
              <w:t>EMC</w:t>
            </w:r>
          </w:p>
        </w:tc>
        <w:tc>
          <w:tcPr>
            <w:tcW w:type="dxa" w:w="2353"/>
            <w:tcMar>
              <w:top w:w="80" w:type="dxa"/>
              <w:left w:w="80" w:type="dxa"/>
              <w:bottom w:w="80" w:type="dxa"/>
              <w:right w:w="80" w:type="dxa"/>
            </w:tcMar>
          </w:tcPr>
          <w:p>
            <w:pPr>
              <w:keepNext/>
              <w:spacing w:after="60" w:line="240" w:lineRule="auto"/>
            </w:pPr>
            <w:r>
              <w:rPr>
                <w:b/>
                <w:i w:val="0"/>
                <w:sz w:val="19"/>
              </w:rPr>
              <w:t>comparators</w:t>
            </w:r>
          </w:p>
        </w:tc>
        <w:tc>
          <w:tcPr>
            <w:tcW w:type="dxa" w:w="2353"/>
            <w:tcMar>
              <w:top w:w="80" w:type="dxa"/>
              <w:left w:w="80" w:type="dxa"/>
              <w:bottom w:w="80" w:type="dxa"/>
              <w:right w:w="80" w:type="dxa"/>
            </w:tcMar>
          </w:tcPr>
          <w:p>
            <w:pPr>
              <w:keepNext/>
              <w:spacing w:after="60" w:line="240" w:lineRule="auto"/>
            </w:pPr>
            <w:r>
              <w:rPr>
                <w:b/>
                <w:i w:val="0"/>
                <w:sz w:val="19"/>
              </w:rPr>
              <w:t>EMC − comparator</w:t>
            </w:r>
          </w:p>
        </w:tc>
      </w:tr>
      <w:tr>
        <w:trPr>
          <w:cantSplit/>
        </w:trPr>
        <w:tc>
          <w:tcPr>
            <w:tcW w:type="dxa" w:w="2353"/>
            <w:tcMar>
              <w:top w:w="80" w:type="dxa"/>
              <w:left w:w="80" w:type="dxa"/>
              <w:bottom w:w="80" w:type="dxa"/>
              <w:right w:w="80" w:type="dxa"/>
            </w:tcMar>
          </w:tcPr>
          <w:p>
            <w:pPr>
              <w:spacing w:after="60" w:line="240" w:lineRule="auto"/>
            </w:pPr>
            <w:r>
              <w:rPr>
                <w:b w:val="0"/>
                <w:i/>
                <w:sz w:val="19"/>
              </w:rPr>
              <w:t>ACTA1</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1.000</w:t>
            </w:r>
          </w:p>
        </w:tc>
        <w:tc>
          <w:tcPr>
            <w:tcW w:type="dxa" w:w="2353"/>
            <w:tcMar>
              <w:top w:w="80" w:type="dxa"/>
              <w:left w:w="80" w:type="dxa"/>
              <w:bottom w:w="80" w:type="dxa"/>
              <w:right w:w="80" w:type="dxa"/>
            </w:tcMar>
          </w:tcPr>
          <w:p>
            <w:pPr>
              <w:spacing w:after="60" w:line="240" w:lineRule="auto"/>
            </w:pPr>
            <w:r>
              <w:rPr>
                <w:b w:val="0"/>
                <w:i w:val="0"/>
                <w:sz w:val="19"/>
              </w:rPr>
              <w:t>0.721</w:t>
            </w:r>
          </w:p>
        </w:tc>
        <w:tc>
          <w:tcPr>
            <w:tcW w:type="dxa" w:w="2353"/>
            <w:tcMar>
              <w:top w:w="80" w:type="dxa"/>
              <w:left w:w="80" w:type="dxa"/>
              <w:bottom w:w="80" w:type="dxa"/>
              <w:right w:w="80" w:type="dxa"/>
            </w:tcMar>
          </w:tcPr>
          <w:p>
            <w:pPr>
              <w:spacing w:after="60" w:line="240" w:lineRule="auto"/>
            </w:pPr>
            <w:r>
              <w:rPr>
                <w:b w:val="0"/>
                <w:i w:val="0"/>
                <w:sz w:val="19"/>
              </w:rPr>
              <w:t>0.778</w:t>
            </w:r>
          </w:p>
        </w:tc>
        <w:tc>
          <w:tcPr>
            <w:tcW w:type="dxa" w:w="2353"/>
            <w:tcMar>
              <w:top w:w="80" w:type="dxa"/>
              <w:left w:w="80" w:type="dxa"/>
              <w:bottom w:w="80" w:type="dxa"/>
              <w:right w:w="80" w:type="dxa"/>
            </w:tcMar>
          </w:tcPr>
          <w:p>
            <w:pPr>
              <w:spacing w:after="60" w:line="240" w:lineRule="auto"/>
            </w:pPr>
            <w:r>
              <w:rPr>
                <w:b w:val="0"/>
                <w:i w:val="0"/>
                <w:sz w:val="19"/>
              </w:rPr>
              <w:t>-0.057</w:t>
            </w:r>
          </w:p>
        </w:tc>
      </w:tr>
      <w:tr>
        <w:trPr>
          <w:cantSplit/>
        </w:trPr>
        <w:tc>
          <w:tcPr>
            <w:tcW w:type="dxa" w:w="2353"/>
            <w:tcMar>
              <w:top w:w="80" w:type="dxa"/>
              <w:left w:w="80" w:type="dxa"/>
              <w:bottom w:w="80" w:type="dxa"/>
              <w:right w:w="80" w:type="dxa"/>
            </w:tcMar>
          </w:tcPr>
          <w:p>
            <w:pPr>
              <w:spacing w:after="60" w:line="240" w:lineRule="auto"/>
            </w:pPr>
            <w:r>
              <w:rPr>
                <w:b w:val="0"/>
                <w:i/>
                <w:sz w:val="19"/>
              </w:rPr>
              <w:t>MYH7</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1.000</w:t>
            </w:r>
          </w:p>
        </w:tc>
        <w:tc>
          <w:tcPr>
            <w:tcW w:type="dxa" w:w="2353"/>
            <w:tcMar>
              <w:top w:w="80" w:type="dxa"/>
              <w:left w:w="80" w:type="dxa"/>
              <w:bottom w:w="80" w:type="dxa"/>
              <w:right w:w="80" w:type="dxa"/>
            </w:tcMar>
          </w:tcPr>
          <w:p>
            <w:pPr>
              <w:spacing w:after="60" w:line="240" w:lineRule="auto"/>
            </w:pPr>
            <w:r>
              <w:rPr>
                <w:b w:val="0"/>
                <w:i w:val="0"/>
                <w:sz w:val="19"/>
              </w:rPr>
              <w:t>0.479</w:t>
            </w:r>
          </w:p>
        </w:tc>
        <w:tc>
          <w:tcPr>
            <w:tcW w:type="dxa" w:w="2353"/>
            <w:tcMar>
              <w:top w:w="80" w:type="dxa"/>
              <w:left w:w="80" w:type="dxa"/>
              <w:bottom w:w="80" w:type="dxa"/>
              <w:right w:w="80" w:type="dxa"/>
            </w:tcMar>
          </w:tcPr>
          <w:p>
            <w:pPr>
              <w:spacing w:after="60" w:line="240" w:lineRule="auto"/>
            </w:pPr>
            <w:r>
              <w:rPr>
                <w:b w:val="0"/>
                <w:i w:val="0"/>
                <w:sz w:val="19"/>
              </w:rPr>
              <w:t>0.522</w:t>
            </w:r>
          </w:p>
        </w:tc>
        <w:tc>
          <w:tcPr>
            <w:tcW w:type="dxa" w:w="2353"/>
            <w:tcMar>
              <w:top w:w="80" w:type="dxa"/>
              <w:left w:w="80" w:type="dxa"/>
              <w:bottom w:w="80" w:type="dxa"/>
              <w:right w:w="80" w:type="dxa"/>
            </w:tcMar>
          </w:tcPr>
          <w:p>
            <w:pPr>
              <w:spacing w:after="60" w:line="240" w:lineRule="auto"/>
            </w:pPr>
            <w:r>
              <w:rPr>
                <w:b w:val="0"/>
                <w:i w:val="0"/>
                <w:sz w:val="19"/>
              </w:rPr>
              <w:t>-0.043</w:t>
            </w:r>
          </w:p>
        </w:tc>
      </w:tr>
      <w:tr>
        <w:trPr>
          <w:cantSplit/>
        </w:trPr>
        <w:tc>
          <w:tcPr>
            <w:tcW w:type="dxa" w:w="2353"/>
            <w:tcMar>
              <w:top w:w="80" w:type="dxa"/>
              <w:left w:w="80" w:type="dxa"/>
              <w:bottom w:w="80" w:type="dxa"/>
              <w:right w:w="80" w:type="dxa"/>
            </w:tcMar>
          </w:tcPr>
          <w:p>
            <w:pPr>
              <w:spacing w:after="60" w:line="240" w:lineRule="auto"/>
            </w:pPr>
            <w:r>
              <w:rPr>
                <w:b w:val="0"/>
                <w:i/>
                <w:sz w:val="19"/>
              </w:rPr>
              <w:t>PYGM</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0.999</w:t>
            </w:r>
          </w:p>
        </w:tc>
        <w:tc>
          <w:tcPr>
            <w:tcW w:type="dxa" w:w="2353"/>
            <w:tcMar>
              <w:top w:w="80" w:type="dxa"/>
              <w:left w:w="80" w:type="dxa"/>
              <w:bottom w:w="80" w:type="dxa"/>
              <w:right w:w="80" w:type="dxa"/>
            </w:tcMar>
          </w:tcPr>
          <w:p>
            <w:pPr>
              <w:spacing w:after="60" w:line="240" w:lineRule="auto"/>
            </w:pPr>
            <w:r>
              <w:rPr>
                <w:b w:val="0"/>
                <w:i w:val="0"/>
                <w:sz w:val="19"/>
              </w:rPr>
              <w:t>0.604</w:t>
            </w:r>
          </w:p>
        </w:tc>
        <w:tc>
          <w:tcPr>
            <w:tcW w:type="dxa" w:w="2353"/>
            <w:tcMar>
              <w:top w:w="80" w:type="dxa"/>
              <w:left w:w="80" w:type="dxa"/>
              <w:bottom w:w="80" w:type="dxa"/>
              <w:right w:w="80" w:type="dxa"/>
            </w:tcMar>
          </w:tcPr>
          <w:p>
            <w:pPr>
              <w:spacing w:after="60" w:line="240" w:lineRule="auto"/>
            </w:pPr>
            <w:r>
              <w:rPr>
                <w:b w:val="0"/>
                <w:i w:val="0"/>
                <w:sz w:val="19"/>
              </w:rPr>
              <w:t>0.462</w:t>
            </w:r>
          </w:p>
        </w:tc>
        <w:tc>
          <w:tcPr>
            <w:tcW w:type="dxa" w:w="2353"/>
            <w:tcMar>
              <w:top w:w="80" w:type="dxa"/>
              <w:left w:w="80" w:type="dxa"/>
              <w:bottom w:w="80" w:type="dxa"/>
              <w:right w:w="80" w:type="dxa"/>
            </w:tcMar>
          </w:tcPr>
          <w:p>
            <w:pPr>
              <w:spacing w:after="60" w:line="240" w:lineRule="auto"/>
            </w:pPr>
            <w:r>
              <w:rPr>
                <w:b w:val="0"/>
                <w:i w:val="0"/>
                <w:sz w:val="19"/>
              </w:rPr>
              <w:t>+0.142</w:t>
            </w:r>
          </w:p>
        </w:tc>
      </w:tr>
      <w:tr>
        <w:trPr>
          <w:cantSplit/>
        </w:trPr>
        <w:tc>
          <w:tcPr>
            <w:tcW w:type="dxa" w:w="2353"/>
            <w:tcMar>
              <w:top w:w="80" w:type="dxa"/>
              <w:left w:w="80" w:type="dxa"/>
              <w:bottom w:w="80" w:type="dxa"/>
              <w:right w:w="80" w:type="dxa"/>
            </w:tcMar>
          </w:tcPr>
          <w:p>
            <w:pPr>
              <w:spacing w:after="60" w:line="240" w:lineRule="auto"/>
            </w:pPr>
            <w:r>
              <w:rPr>
                <w:b w:val="0"/>
                <w:i/>
                <w:sz w:val="19"/>
              </w:rPr>
              <w:t>MYL1</w:t>
            </w:r>
          </w:p>
        </w:tc>
        <w:tc>
          <w:tcPr>
            <w:tcW w:type="dxa" w:w="2353"/>
            <w:tcMar>
              <w:top w:w="80" w:type="dxa"/>
              <w:left w:w="80" w:type="dxa"/>
              <w:bottom w:w="80" w:type="dxa"/>
              <w:right w:w="80" w:type="dxa"/>
            </w:tcMar>
          </w:tcPr>
          <w:p>
            <w:pPr>
              <w:spacing w:after="60" w:line="240" w:lineRule="auto"/>
            </w:pPr>
            <w:r>
              <w:rPr>
                <w:b w:val="0"/>
                <w:i w:val="0"/>
                <w:sz w:val="19"/>
              </w:rPr>
              <w:t>yes</w:t>
            </w:r>
          </w:p>
        </w:tc>
        <w:tc>
          <w:tcPr>
            <w:tcW w:type="dxa" w:w="2353"/>
            <w:tcMar>
              <w:top w:w="80" w:type="dxa"/>
              <w:left w:w="80" w:type="dxa"/>
              <w:bottom w:w="80" w:type="dxa"/>
              <w:right w:w="80" w:type="dxa"/>
            </w:tcMar>
          </w:tcPr>
          <w:p>
            <w:pPr>
              <w:spacing w:after="60" w:line="240" w:lineRule="auto"/>
            </w:pPr>
            <w:r>
              <w:rPr>
                <w:b w:val="0"/>
                <w:i w:val="0"/>
                <w:sz w:val="19"/>
              </w:rPr>
              <w:t>0.998</w:t>
            </w:r>
          </w:p>
        </w:tc>
        <w:tc>
          <w:tcPr>
            <w:tcW w:type="dxa" w:w="2353"/>
            <w:tcMar>
              <w:top w:w="80" w:type="dxa"/>
              <w:left w:w="80" w:type="dxa"/>
              <w:bottom w:w="80" w:type="dxa"/>
              <w:right w:w="80" w:type="dxa"/>
            </w:tcMar>
          </w:tcPr>
          <w:p>
            <w:pPr>
              <w:spacing w:after="60" w:line="240" w:lineRule="auto"/>
            </w:pPr>
            <w:r>
              <w:rPr>
                <w:b w:val="0"/>
                <w:i w:val="0"/>
                <w:sz w:val="19"/>
              </w:rPr>
              <w:t>0.133</w:t>
            </w:r>
          </w:p>
        </w:tc>
        <w:tc>
          <w:tcPr>
            <w:tcW w:type="dxa" w:w="2353"/>
            <w:tcMar>
              <w:top w:w="80" w:type="dxa"/>
              <w:left w:w="80" w:type="dxa"/>
              <w:bottom w:w="80" w:type="dxa"/>
              <w:right w:w="80" w:type="dxa"/>
            </w:tcMar>
          </w:tcPr>
          <w:p>
            <w:pPr>
              <w:spacing w:after="60" w:line="240" w:lineRule="auto"/>
            </w:pPr>
            <w:r>
              <w:rPr>
                <w:b w:val="0"/>
                <w:i w:val="0"/>
                <w:sz w:val="19"/>
              </w:rPr>
              <w:t>0.283</w:t>
            </w:r>
          </w:p>
        </w:tc>
        <w:tc>
          <w:tcPr>
            <w:tcW w:type="dxa" w:w="2353"/>
            <w:tcMar>
              <w:top w:w="80" w:type="dxa"/>
              <w:left w:w="80" w:type="dxa"/>
              <w:bottom w:w="80" w:type="dxa"/>
              <w:right w:w="80" w:type="dxa"/>
            </w:tcMar>
          </w:tcPr>
          <w:p>
            <w:pPr>
              <w:spacing w:after="60" w:line="240" w:lineRule="auto"/>
            </w:pPr>
            <w:r>
              <w:rPr>
                <w:b w:val="0"/>
                <w:i w:val="0"/>
                <w:sz w:val="19"/>
              </w:rPr>
              <w:t>-0.150</w:t>
            </w:r>
          </w:p>
        </w:tc>
      </w:tr>
      <w:tr>
        <w:trPr>
          <w:cantSplit/>
        </w:trPr>
        <w:tc>
          <w:tcPr>
            <w:tcW w:type="dxa" w:w="2353"/>
            <w:tcMar>
              <w:top w:w="80" w:type="dxa"/>
              <w:left w:w="80" w:type="dxa"/>
              <w:bottom w:w="80" w:type="dxa"/>
              <w:right w:w="80" w:type="dxa"/>
            </w:tcMar>
          </w:tcPr>
          <w:p>
            <w:pPr>
              <w:spacing w:after="60" w:line="240" w:lineRule="auto"/>
            </w:pPr>
            <w:r>
              <w:rPr>
                <w:b w:val="0"/>
                <w:i/>
                <w:sz w:val="19"/>
              </w:rPr>
              <w:t>ENO3</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0.996</w:t>
            </w:r>
          </w:p>
        </w:tc>
        <w:tc>
          <w:tcPr>
            <w:tcW w:type="dxa" w:w="2353"/>
            <w:tcMar>
              <w:top w:w="80" w:type="dxa"/>
              <w:left w:w="80" w:type="dxa"/>
              <w:bottom w:w="80" w:type="dxa"/>
              <w:right w:w="80" w:type="dxa"/>
            </w:tcMar>
          </w:tcPr>
          <w:p>
            <w:pPr>
              <w:spacing w:after="60" w:line="240" w:lineRule="auto"/>
            </w:pPr>
            <w:r>
              <w:rPr>
                <w:b w:val="0"/>
                <w:i w:val="0"/>
                <w:sz w:val="19"/>
              </w:rPr>
              <w:t>0.663</w:t>
            </w:r>
          </w:p>
        </w:tc>
        <w:tc>
          <w:tcPr>
            <w:tcW w:type="dxa" w:w="2353"/>
            <w:tcMar>
              <w:top w:w="80" w:type="dxa"/>
              <w:left w:w="80" w:type="dxa"/>
              <w:bottom w:w="80" w:type="dxa"/>
              <w:right w:w="80" w:type="dxa"/>
            </w:tcMar>
          </w:tcPr>
          <w:p>
            <w:pPr>
              <w:spacing w:after="60" w:line="240" w:lineRule="auto"/>
            </w:pPr>
            <w:r>
              <w:rPr>
                <w:b w:val="0"/>
                <w:i w:val="0"/>
                <w:sz w:val="19"/>
              </w:rPr>
              <w:t>0.348</w:t>
            </w:r>
          </w:p>
        </w:tc>
        <w:tc>
          <w:tcPr>
            <w:tcW w:type="dxa" w:w="2353"/>
            <w:tcMar>
              <w:top w:w="80" w:type="dxa"/>
              <w:left w:w="80" w:type="dxa"/>
              <w:bottom w:w="80" w:type="dxa"/>
              <w:right w:w="80" w:type="dxa"/>
            </w:tcMar>
          </w:tcPr>
          <w:p>
            <w:pPr>
              <w:spacing w:after="60" w:line="240" w:lineRule="auto"/>
            </w:pPr>
            <w:r>
              <w:rPr>
                <w:b w:val="0"/>
                <w:i w:val="0"/>
                <w:sz w:val="19"/>
              </w:rPr>
              <w:t>+0.315</w:t>
            </w:r>
          </w:p>
        </w:tc>
      </w:tr>
      <w:tr>
        <w:trPr>
          <w:cantSplit/>
        </w:trPr>
        <w:tc>
          <w:tcPr>
            <w:tcW w:type="dxa" w:w="2353"/>
            <w:tcMar>
              <w:top w:w="80" w:type="dxa"/>
              <w:left w:w="80" w:type="dxa"/>
              <w:bottom w:w="80" w:type="dxa"/>
              <w:right w:w="80" w:type="dxa"/>
            </w:tcMar>
          </w:tcPr>
          <w:p>
            <w:pPr>
              <w:spacing w:after="60" w:line="240" w:lineRule="auto"/>
            </w:pPr>
            <w:r>
              <w:rPr>
                <w:b w:val="0"/>
                <w:i/>
                <w:sz w:val="19"/>
              </w:rPr>
              <w:t>SEMA3C</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0.924</w:t>
            </w:r>
          </w:p>
        </w:tc>
        <w:tc>
          <w:tcPr>
            <w:tcW w:type="dxa" w:w="2353"/>
            <w:tcMar>
              <w:top w:w="80" w:type="dxa"/>
              <w:left w:w="80" w:type="dxa"/>
              <w:bottom w:w="80" w:type="dxa"/>
              <w:right w:w="80" w:type="dxa"/>
            </w:tcMar>
          </w:tcPr>
          <w:p>
            <w:pPr>
              <w:spacing w:after="60" w:line="240" w:lineRule="auto"/>
            </w:pPr>
            <w:r>
              <w:rPr>
                <w:b w:val="0"/>
                <w:i w:val="0"/>
                <w:sz w:val="19"/>
              </w:rPr>
              <w:t>0.945</w:t>
            </w:r>
          </w:p>
        </w:tc>
        <w:tc>
          <w:tcPr>
            <w:tcW w:type="dxa" w:w="2353"/>
            <w:tcMar>
              <w:top w:w="80" w:type="dxa"/>
              <w:left w:w="80" w:type="dxa"/>
              <w:bottom w:w="80" w:type="dxa"/>
              <w:right w:w="80" w:type="dxa"/>
            </w:tcMar>
          </w:tcPr>
          <w:p>
            <w:pPr>
              <w:spacing w:after="60" w:line="240" w:lineRule="auto"/>
            </w:pPr>
            <w:r>
              <w:rPr>
                <w:b w:val="0"/>
                <w:i w:val="0"/>
                <w:sz w:val="19"/>
              </w:rPr>
              <w:t>0.685</w:t>
            </w:r>
          </w:p>
        </w:tc>
        <w:tc>
          <w:tcPr>
            <w:tcW w:type="dxa" w:w="2353"/>
            <w:tcMar>
              <w:top w:w="80" w:type="dxa"/>
              <w:left w:w="80" w:type="dxa"/>
              <w:bottom w:w="80" w:type="dxa"/>
              <w:right w:w="80" w:type="dxa"/>
            </w:tcMar>
          </w:tcPr>
          <w:p>
            <w:pPr>
              <w:spacing w:after="60" w:line="240" w:lineRule="auto"/>
            </w:pPr>
            <w:r>
              <w:rPr>
                <w:b w:val="0"/>
                <w:i w:val="0"/>
                <w:sz w:val="19"/>
              </w:rPr>
              <w:t>+0.260</w:t>
            </w:r>
          </w:p>
        </w:tc>
      </w:tr>
      <w:tr>
        <w:trPr>
          <w:cantSplit/>
        </w:trPr>
        <w:tc>
          <w:tcPr>
            <w:tcW w:type="dxa" w:w="2353"/>
            <w:tcMar>
              <w:top w:w="80" w:type="dxa"/>
              <w:left w:w="80" w:type="dxa"/>
              <w:bottom w:w="80" w:type="dxa"/>
              <w:right w:w="80" w:type="dxa"/>
            </w:tcMar>
          </w:tcPr>
          <w:p>
            <w:pPr>
              <w:spacing w:after="60" w:line="240" w:lineRule="auto"/>
            </w:pPr>
            <w:r>
              <w:rPr>
                <w:b w:val="0"/>
                <w:i/>
                <w:sz w:val="19"/>
              </w:rPr>
              <w:t>PPARG</w:t>
            </w:r>
          </w:p>
        </w:tc>
        <w:tc>
          <w:tcPr>
            <w:tcW w:type="dxa" w:w="2353"/>
            <w:tcMar>
              <w:top w:w="80" w:type="dxa"/>
              <w:left w:w="80" w:type="dxa"/>
              <w:bottom w:w="80" w:type="dxa"/>
              <w:right w:w="80" w:type="dxa"/>
            </w:tcMar>
          </w:tcPr>
          <w:p>
            <w:pPr>
              <w:spacing w:after="60" w:line="240" w:lineRule="auto"/>
            </w:pPr>
            <w:r>
              <w:rPr>
                <w:b w:val="0"/>
                <w:i w:val="0"/>
                <w:sz w:val="19"/>
              </w:rPr>
              <w:t>no (class-A target)</w:t>
            </w:r>
          </w:p>
        </w:tc>
        <w:tc>
          <w:tcPr>
            <w:tcW w:type="dxa" w:w="2353"/>
            <w:tcMar>
              <w:top w:w="80" w:type="dxa"/>
              <w:left w:w="80" w:type="dxa"/>
              <w:bottom w:w="80" w:type="dxa"/>
              <w:right w:w="80" w:type="dxa"/>
            </w:tcMar>
          </w:tcPr>
          <w:p>
            <w:pPr>
              <w:spacing w:after="60" w:line="240" w:lineRule="auto"/>
            </w:pPr>
            <w:r>
              <w:rPr>
                <w:b w:val="0"/>
                <w:i w:val="0"/>
                <w:sz w:val="19"/>
              </w:rPr>
              <w:t>0.381</w:t>
            </w:r>
          </w:p>
        </w:tc>
        <w:tc>
          <w:tcPr>
            <w:tcW w:type="dxa" w:w="2353"/>
            <w:tcMar>
              <w:top w:w="80" w:type="dxa"/>
              <w:left w:w="80" w:type="dxa"/>
              <w:bottom w:w="80" w:type="dxa"/>
              <w:right w:w="80" w:type="dxa"/>
            </w:tcMar>
          </w:tcPr>
          <w:p>
            <w:pPr>
              <w:spacing w:after="60" w:line="240" w:lineRule="auto"/>
            </w:pPr>
            <w:r>
              <w:rPr>
                <w:b w:val="0"/>
                <w:i w:val="0"/>
                <w:sz w:val="19"/>
              </w:rPr>
              <w:t>0.707</w:t>
            </w:r>
          </w:p>
        </w:tc>
        <w:tc>
          <w:tcPr>
            <w:tcW w:type="dxa" w:w="2353"/>
            <w:tcMar>
              <w:top w:w="80" w:type="dxa"/>
              <w:left w:w="80" w:type="dxa"/>
              <w:bottom w:w="80" w:type="dxa"/>
              <w:right w:w="80" w:type="dxa"/>
            </w:tcMar>
          </w:tcPr>
          <w:p>
            <w:pPr>
              <w:spacing w:after="60" w:line="240" w:lineRule="auto"/>
            </w:pPr>
            <w:r>
              <w:rPr>
                <w:b w:val="0"/>
                <w:i w:val="0"/>
                <w:sz w:val="19"/>
              </w:rPr>
              <w:t>0.591</w:t>
            </w:r>
          </w:p>
        </w:tc>
        <w:tc>
          <w:tcPr>
            <w:tcW w:type="dxa" w:w="2353"/>
            <w:tcMar>
              <w:top w:w="80" w:type="dxa"/>
              <w:left w:w="80" w:type="dxa"/>
              <w:bottom w:w="80" w:type="dxa"/>
              <w:right w:w="80" w:type="dxa"/>
            </w:tcMar>
          </w:tcPr>
          <w:p>
            <w:pPr>
              <w:spacing w:after="60" w:line="240" w:lineRule="auto"/>
            </w:pPr>
            <w:r>
              <w:rPr>
                <w:b w:val="0"/>
                <w:i w:val="0"/>
                <w:sz w:val="19"/>
              </w:rPr>
              <w:t>+0.116</w:t>
            </w:r>
          </w:p>
        </w:tc>
      </w:tr>
    </w:tbl>
    <w:p>
      <w:pPr>
        <w:pStyle w:val="Heading1"/>
      </w:pPr>
      <w:r>
        <w:rPr>
          <w:b w:val="0"/>
          <w:i w:val="0"/>
        </w:rPr>
        <w:t>S6 · The NBRE motif scan — full parameters</w:t>
      </w:r>
    </w:p>
    <w:p>
      <w:r>
        <w:rPr>
          <w:b/>
          <w:i w:val="0"/>
        </w:rPr>
        <w:t>Window.</w:t>
      </w:r>
      <w:r>
        <w:rPr>
          <w:b w:val="0"/>
          <w:i w:val="0"/>
        </w:rPr>
        <w:t xml:space="preserve"> −10 kb/+15 kb around each gene's Ensembl-canonical TSS. The window is asymmetric, was fixed in advance on published regulatory architecture, and was frozen </w:t>
      </w:r>
      <w:r>
        <w:rPr>
          <w:b/>
          <w:i w:val="0"/>
        </w:rPr>
        <w:t>before any sequence was read</w:t>
      </w:r>
      <w:r>
        <w:rPr>
          <w:b w:val="0"/>
          <w:i w:val="0"/>
        </w:rPr>
        <w:t xml:space="preserve"> rather than chosen around a result. A distal element outside it is untested by construction.</w:t>
      </w:r>
    </w:p>
    <w:p>
      <w:r>
        <w:rPr>
          <w:b/>
          <w:i w:val="0"/>
        </w:rPr>
        <w:t>Motifs.</w:t>
      </w:r>
      <w:r>
        <w:rPr>
          <w:b w:val="0"/>
          <w:i w:val="0"/>
        </w:rPr>
        <w:t xml:space="preserve"> The exact NBRE, 5′-AAAGGTCA-3′ (PMID 1902986), and the NurRE (PMID 9315667), scanned on both strands with hits de-duplicated by genomic position so a palindromic match cannot be counted twice. </w:t>
      </w:r>
      <w:r>
        <w:rPr>
          <w:b/>
          <w:i w:val="0"/>
        </w:rPr>
        <w:t>No NurRE occurs in any focus window.</w:t>
      </w:r>
    </w:p>
    <w:p>
      <w:pPr/>
      <w:r>
        <w:t>Two complementary reference comparisons, because an 8-mer occurs in 25 kb by chance. (i) A dinucleotide-preserving shuffle of the same window — 2,000 shuffles, seeded — which holds base and dinucleotide composition, and therefore GC and CpG content, exactly.</w:t>
      </w:r>
    </w:p>
    <w:p>
      <w:r>
        <w:rPr>
          <w:b w:val="0"/>
          <w:i w:val="0"/>
        </w:rPr>
        <w:t xml:space="preserve">(ii) A </w:t>
      </w:r>
      <w:r>
        <w:rPr>
          <w:b/>
          <w:i w:val="0"/>
        </w:rPr>
        <w:t>background panel</w:t>
      </w:r>
      <w:r>
        <w:rPr>
          <w:b w:val="0"/>
          <w:i w:val="0"/>
        </w:rPr>
        <w:t xml:space="preserve"> of 198 other genes' windows, read raw and additionally restricted to a GC-matched subset (±0.05).</w:t>
      </w:r>
    </w:p>
    <w:p>
      <w:r>
        <w:rPr>
          <w:b w:val="0"/>
          <w:i w:val="0"/>
        </w:rPr>
        <w:t>The panel is a gene list this project had already assembled for an unrelated question, so it cannot have been chosen to flatter or damage any gene here.</w:t>
      </w:r>
    </w:p>
    <w:p>
      <w:r>
        <w:rPr>
          <w:b w:val="0"/>
          <w:i w:val="0"/>
        </w:rPr>
        <w:t xml:space="preserve">It averages </w:t>
      </w:r>
      <w:r>
        <w:rPr>
          <w:b/>
          <w:i w:val="0"/>
        </w:rPr>
        <w:t>1.15 exact NBREs per 25 kb window</w:t>
      </w:r>
      <w:r>
        <w:rPr>
          <w:b w:val="0"/>
          <w:i w:val="0"/>
        </w:rPr>
        <w:t>, so a single hit is what an arbitrary window contains anyway.</w:t>
      </w:r>
    </w:p>
    <w:p>
      <w:r>
        <w:rPr>
          <w:b w:val="0"/>
          <w:i w:val="0"/>
        </w:rPr>
        <w:t>Sequences are cached, so the scan re-derives offline.</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823"/>
        <w:gridCol w:w="2823"/>
        <w:gridCol w:w="2823"/>
        <w:gridCol w:w="2823"/>
        <w:gridCol w:w="2823"/>
      </w:tblGrid>
      <w:tr>
        <w:trPr>
          <w:cantSplit/>
          <w:tblHeader/>
        </w:trPr>
        <w:tc>
          <w:tcPr>
            <w:tcW w:type="dxa" w:w="2823"/>
            <w:tcMar>
              <w:top w:w="80" w:type="dxa"/>
              <w:left w:w="80" w:type="dxa"/>
              <w:bottom w:w="80" w:type="dxa"/>
              <w:right w:w="80" w:type="dxa"/>
            </w:tcMar>
          </w:tcPr>
          <w:p>
            <w:pPr>
              <w:keepNext/>
              <w:spacing w:after="60" w:line="240" w:lineRule="auto"/>
            </w:pPr>
            <w:r>
              <w:rPr>
                <w:b/>
                <w:i w:val="0"/>
                <w:sz w:val="19"/>
              </w:rPr>
              <w:t>gene</w:t>
            </w:r>
          </w:p>
        </w:tc>
        <w:tc>
          <w:tcPr>
            <w:tcW w:type="dxa" w:w="2823"/>
            <w:tcMar>
              <w:top w:w="80" w:type="dxa"/>
              <w:left w:w="80" w:type="dxa"/>
              <w:bottom w:w="80" w:type="dxa"/>
              <w:right w:w="80" w:type="dxa"/>
            </w:tcMar>
          </w:tcPr>
          <w:p>
            <w:pPr>
              <w:keepNext/>
              <w:spacing w:after="60" w:line="240" w:lineRule="auto"/>
            </w:pPr>
            <w:r>
              <w:rPr>
                <w:b/>
                <w:i w:val="0"/>
                <w:sz w:val="19"/>
              </w:rPr>
              <w:t>exact NBRE</w:t>
            </w:r>
          </w:p>
        </w:tc>
        <w:tc>
          <w:tcPr>
            <w:tcW w:type="dxa" w:w="2823"/>
            <w:tcMar>
              <w:top w:w="80" w:type="dxa"/>
              <w:left w:w="80" w:type="dxa"/>
              <w:bottom w:w="80" w:type="dxa"/>
              <w:right w:w="80" w:type="dxa"/>
            </w:tcMar>
          </w:tcPr>
          <w:p>
            <w:pPr>
              <w:keepNext/>
              <w:spacing w:after="60" w:line="240" w:lineRule="auto"/>
            </w:pPr>
            <w:r>
              <w:rPr>
                <w:b/>
                <w:i w:val="0"/>
                <w:sz w:val="19"/>
              </w:rPr>
              <w:t>shuffle-null p</w:t>
            </w:r>
          </w:p>
        </w:tc>
        <w:tc>
          <w:tcPr>
            <w:tcW w:type="dxa" w:w="2823"/>
            <w:tcMar>
              <w:top w:w="80" w:type="dxa"/>
              <w:left w:w="80" w:type="dxa"/>
              <w:bottom w:w="80" w:type="dxa"/>
              <w:right w:w="80" w:type="dxa"/>
            </w:tcMar>
          </w:tcPr>
          <w:p>
            <w:pPr>
              <w:keepNext/>
              <w:spacing w:after="60" w:line="240" w:lineRule="auto"/>
            </w:pPr>
            <w:r>
              <w:rPr>
                <w:b/>
                <w:i w:val="0"/>
                <w:sz w:val="19"/>
              </w:rPr>
              <w:t>background-panel p</w:t>
            </w:r>
          </w:p>
        </w:tc>
        <w:tc>
          <w:tcPr>
            <w:tcW w:type="dxa" w:w="2823"/>
            <w:tcMar>
              <w:top w:w="80" w:type="dxa"/>
              <w:left w:w="80" w:type="dxa"/>
              <w:bottom w:w="80" w:type="dxa"/>
              <w:right w:w="80" w:type="dxa"/>
            </w:tcMar>
          </w:tcPr>
          <w:p>
            <w:pPr>
              <w:keepNext/>
              <w:spacing w:after="60" w:line="240" w:lineRule="auto"/>
            </w:pPr>
            <w:r>
              <w:rPr>
                <w:b/>
                <w:i w:val="0"/>
                <w:sz w:val="19"/>
              </w:rPr>
              <w:t>GC-matched p</w:t>
            </w:r>
          </w:p>
        </w:tc>
      </w:tr>
      <w:tr>
        <w:trPr>
          <w:cantSplit/>
        </w:trPr>
        <w:tc>
          <w:tcPr>
            <w:tcW w:type="dxa" w:w="2823"/>
            <w:tcMar>
              <w:top w:w="80" w:type="dxa"/>
              <w:left w:w="80" w:type="dxa"/>
              <w:bottom w:w="80" w:type="dxa"/>
              <w:right w:w="80" w:type="dxa"/>
            </w:tcMar>
          </w:tcPr>
          <w:p>
            <w:pPr>
              <w:keepNext/>
              <w:spacing w:after="60" w:line="240" w:lineRule="auto"/>
            </w:pPr>
            <w:r>
              <w:rPr>
                <w:b/>
                <w:i/>
                <w:sz w:val="19"/>
              </w:rPr>
              <w:t>ENO3</w:t>
            </w:r>
          </w:p>
        </w:tc>
        <w:tc>
          <w:tcPr>
            <w:tcW w:type="dxa" w:w="2823"/>
            <w:tcMar>
              <w:top w:w="80" w:type="dxa"/>
              <w:left w:w="80" w:type="dxa"/>
              <w:bottom w:w="80" w:type="dxa"/>
              <w:right w:w="80" w:type="dxa"/>
            </w:tcMar>
          </w:tcPr>
          <w:p>
            <w:pPr>
              <w:keepNext/>
              <w:spacing w:after="60" w:line="240" w:lineRule="auto"/>
            </w:pPr>
            <w:r>
              <w:rPr>
                <w:b/>
                <w:i w:val="0"/>
                <w:sz w:val="19"/>
              </w:rPr>
              <w:t>4</w:t>
            </w:r>
          </w:p>
        </w:tc>
        <w:tc>
          <w:tcPr>
            <w:tcW w:type="dxa" w:w="2823"/>
            <w:tcMar>
              <w:top w:w="80" w:type="dxa"/>
              <w:left w:w="80" w:type="dxa"/>
              <w:bottom w:w="80" w:type="dxa"/>
              <w:right w:w="80" w:type="dxa"/>
            </w:tcMar>
          </w:tcPr>
          <w:p>
            <w:pPr>
              <w:keepNext/>
              <w:spacing w:after="60" w:line="240" w:lineRule="auto"/>
            </w:pPr>
            <w:r>
              <w:rPr>
                <w:b/>
                <w:i w:val="0"/>
                <w:sz w:val="19"/>
              </w:rPr>
              <w:t>0.034</w:t>
            </w:r>
          </w:p>
        </w:tc>
        <w:tc>
          <w:tcPr>
            <w:tcW w:type="dxa" w:w="2823"/>
            <w:tcMar>
              <w:top w:w="80" w:type="dxa"/>
              <w:left w:w="80" w:type="dxa"/>
              <w:bottom w:w="80" w:type="dxa"/>
              <w:right w:w="80" w:type="dxa"/>
            </w:tcMar>
          </w:tcPr>
          <w:p>
            <w:pPr>
              <w:keepNext/>
              <w:spacing w:after="60" w:line="240" w:lineRule="auto"/>
            </w:pPr>
            <w:r>
              <w:rPr>
                <w:b/>
                <w:i w:val="0"/>
                <w:sz w:val="19"/>
              </w:rPr>
              <w:t>0.025</w:t>
            </w:r>
          </w:p>
        </w:tc>
        <w:tc>
          <w:tcPr>
            <w:tcW w:type="dxa" w:w="2823"/>
            <w:tcMar>
              <w:top w:w="80" w:type="dxa"/>
              <w:left w:w="80" w:type="dxa"/>
              <w:bottom w:w="80" w:type="dxa"/>
              <w:right w:w="80" w:type="dxa"/>
            </w:tcMar>
          </w:tcPr>
          <w:p>
            <w:pPr>
              <w:keepNext/>
              <w:spacing w:after="60" w:line="240" w:lineRule="auto"/>
            </w:pPr>
            <w:r>
              <w:rPr>
                <w:b/>
                <w:i w:val="0"/>
                <w:sz w:val="19"/>
              </w:rPr>
              <w:t>0.018</w:t>
            </w:r>
          </w:p>
        </w:tc>
      </w:tr>
      <w:tr>
        <w:trPr>
          <w:cantSplit/>
        </w:trPr>
        <w:tc>
          <w:tcPr>
            <w:tcW w:type="dxa" w:w="2823"/>
            <w:tcMar>
              <w:top w:w="80" w:type="dxa"/>
              <w:left w:w="80" w:type="dxa"/>
              <w:bottom w:w="80" w:type="dxa"/>
              <w:right w:w="80" w:type="dxa"/>
            </w:tcMar>
          </w:tcPr>
          <w:p>
            <w:pPr>
              <w:keepNext/>
              <w:spacing w:after="60" w:line="240" w:lineRule="auto"/>
            </w:pPr>
            <w:r>
              <w:rPr>
                <w:b/>
                <w:i/>
                <w:sz w:val="19"/>
              </w:rPr>
              <w:t>PPARG</w:t>
            </w:r>
          </w:p>
        </w:tc>
        <w:tc>
          <w:tcPr>
            <w:tcW w:type="dxa" w:w="2823"/>
            <w:tcMar>
              <w:top w:w="80" w:type="dxa"/>
              <w:left w:w="80" w:type="dxa"/>
              <w:bottom w:w="80" w:type="dxa"/>
              <w:right w:w="80" w:type="dxa"/>
            </w:tcMar>
          </w:tcPr>
          <w:p>
            <w:pPr>
              <w:keepNext/>
              <w:spacing w:after="60" w:line="240" w:lineRule="auto"/>
            </w:pPr>
            <w:r>
              <w:rPr>
                <w:b w:val="0"/>
                <w:i w:val="0"/>
                <w:sz w:val="19"/>
              </w:rPr>
              <w:t>3</w:t>
            </w:r>
          </w:p>
        </w:tc>
        <w:tc>
          <w:tcPr>
            <w:tcW w:type="dxa" w:w="2823"/>
            <w:tcMar>
              <w:top w:w="80" w:type="dxa"/>
              <w:left w:w="80" w:type="dxa"/>
              <w:bottom w:w="80" w:type="dxa"/>
              <w:right w:w="80" w:type="dxa"/>
            </w:tcMar>
          </w:tcPr>
          <w:p>
            <w:pPr>
              <w:keepNext/>
              <w:spacing w:after="60" w:line="240" w:lineRule="auto"/>
            </w:pPr>
            <w:r>
              <w:rPr>
                <w:b w:val="0"/>
                <w:i w:val="0"/>
                <w:sz w:val="19"/>
              </w:rPr>
              <w:t>0.227</w:t>
            </w:r>
          </w:p>
        </w:tc>
        <w:tc>
          <w:tcPr>
            <w:tcW w:type="dxa" w:w="2823"/>
            <w:tcMar>
              <w:top w:w="80" w:type="dxa"/>
              <w:left w:w="80" w:type="dxa"/>
              <w:bottom w:w="80" w:type="dxa"/>
              <w:right w:w="80" w:type="dxa"/>
            </w:tcMar>
          </w:tcPr>
          <w:p>
            <w:pPr>
              <w:keepNext/>
              <w:spacing w:after="60" w:line="240" w:lineRule="auto"/>
            </w:pPr>
            <w:r>
              <w:rPr>
                <w:b w:val="0"/>
                <w:i w:val="0"/>
                <w:sz w:val="19"/>
              </w:rPr>
              <w:t>0.131</w:t>
            </w:r>
          </w:p>
        </w:tc>
        <w:tc>
          <w:tcPr>
            <w:tcW w:type="dxa" w:w="2823"/>
            <w:tcMar>
              <w:top w:w="80" w:type="dxa"/>
              <w:left w:w="80" w:type="dxa"/>
              <w:bottom w:w="80" w:type="dxa"/>
              <w:right w:w="80" w:type="dxa"/>
            </w:tcMar>
          </w:tcPr>
          <w:p>
            <w:pPr>
              <w:keepNext/>
              <w:spacing w:after="60" w:line="240" w:lineRule="auto"/>
            </w:pPr>
            <w:r>
              <w:rPr>
                <w:b w:val="0"/>
                <w:i w:val="0"/>
                <w:sz w:val="19"/>
              </w:rPr>
              <w:t>0.209</w:t>
            </w:r>
          </w:p>
        </w:tc>
      </w:tr>
      <w:tr>
        <w:trPr>
          <w:cantSplit/>
        </w:trPr>
        <w:tc>
          <w:tcPr>
            <w:tcW w:type="dxa" w:w="2823"/>
            <w:tcMar>
              <w:top w:w="80" w:type="dxa"/>
              <w:left w:w="80" w:type="dxa"/>
              <w:bottom w:w="80" w:type="dxa"/>
              <w:right w:w="80" w:type="dxa"/>
            </w:tcMar>
          </w:tcPr>
          <w:p>
            <w:pPr>
              <w:keepNext/>
              <w:spacing w:after="60" w:line="240" w:lineRule="auto"/>
            </w:pPr>
            <w:r>
              <w:rPr>
                <w:b/>
                <w:i/>
                <w:sz w:val="19"/>
              </w:rPr>
              <w:t>SEMA3C</w:t>
            </w:r>
          </w:p>
        </w:tc>
        <w:tc>
          <w:tcPr>
            <w:tcW w:type="dxa" w:w="2823"/>
            <w:tcMar>
              <w:top w:w="80" w:type="dxa"/>
              <w:left w:w="80" w:type="dxa"/>
              <w:bottom w:w="80" w:type="dxa"/>
              <w:right w:w="80" w:type="dxa"/>
            </w:tcMar>
          </w:tcPr>
          <w:p>
            <w:pPr>
              <w:keepNext/>
              <w:spacing w:after="60" w:line="240" w:lineRule="auto"/>
            </w:pPr>
            <w:r>
              <w:rPr>
                <w:b/>
                <w:i w:val="0"/>
                <w:sz w:val="19"/>
              </w:rPr>
              <w:t>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r>
      <w:tr>
        <w:trPr>
          <w:cantSplit/>
        </w:trPr>
        <w:tc>
          <w:tcPr>
            <w:tcW w:type="dxa" w:w="2823"/>
            <w:tcMar>
              <w:top w:w="80" w:type="dxa"/>
              <w:left w:w="80" w:type="dxa"/>
              <w:bottom w:w="80" w:type="dxa"/>
              <w:right w:w="80" w:type="dxa"/>
            </w:tcMar>
          </w:tcPr>
          <w:p>
            <w:pPr>
              <w:keepNext/>
              <w:spacing w:after="60" w:line="240" w:lineRule="auto"/>
            </w:pPr>
            <w:r>
              <w:rPr>
                <w:b w:val="0"/>
                <w:i/>
                <w:sz w:val="19"/>
              </w:rPr>
              <w:t>NR4A3</w:t>
            </w:r>
          </w:p>
        </w:tc>
        <w:tc>
          <w:tcPr>
            <w:tcW w:type="dxa" w:w="2823"/>
            <w:tcMar>
              <w:top w:w="80" w:type="dxa"/>
              <w:left w:w="80" w:type="dxa"/>
              <w:bottom w:w="80" w:type="dxa"/>
              <w:right w:w="80" w:type="dxa"/>
            </w:tcMar>
          </w:tcPr>
          <w:p>
            <w:pPr>
              <w:keepNext/>
              <w:spacing w:after="60" w:line="240" w:lineRule="auto"/>
            </w:pPr>
            <w:r>
              <w:rPr>
                <w:b w:val="0"/>
                <w:i w:val="0"/>
                <w:sz w:val="19"/>
              </w:rPr>
              <w:t>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c>
          <w:tcPr>
            <w:tcW w:type="dxa" w:w="2823"/>
            <w:tcMar>
              <w:top w:w="80" w:type="dxa"/>
              <w:left w:w="80" w:type="dxa"/>
              <w:bottom w:w="80" w:type="dxa"/>
              <w:right w:w="80" w:type="dxa"/>
            </w:tcMar>
          </w:tcPr>
          <w:p>
            <w:pPr>
              <w:keepNext/>
              <w:spacing w:after="60" w:line="240" w:lineRule="auto"/>
            </w:pPr>
            <w:r>
              <w:rPr>
                <w:b w:val="0"/>
                <w:i w:val="0"/>
                <w:sz w:val="19"/>
              </w:rPr>
              <w:t>1.00</w:t>
            </w:r>
          </w:p>
        </w:tc>
      </w:tr>
      <w:tr>
        <w:trPr>
          <w:cantSplit/>
        </w:trPr>
        <w:tc>
          <w:tcPr>
            <w:tcW w:type="dxa" w:w="2823"/>
            <w:tcMar>
              <w:top w:w="80" w:type="dxa"/>
              <w:left w:w="80" w:type="dxa"/>
              <w:bottom w:w="80" w:type="dxa"/>
              <w:right w:w="80" w:type="dxa"/>
            </w:tcMar>
          </w:tcPr>
          <w:p>
            <w:pPr>
              <w:spacing w:after="60" w:line="240" w:lineRule="auto"/>
            </w:pPr>
            <w:r>
              <w:rPr>
                <w:b w:val="0"/>
                <w:i/>
                <w:sz w:val="19"/>
              </w:rPr>
              <w:t>NR4A1</w:t>
            </w:r>
          </w:p>
        </w:tc>
        <w:tc>
          <w:tcPr>
            <w:tcW w:type="dxa" w:w="2823"/>
            <w:tcMar>
              <w:top w:w="80" w:type="dxa"/>
              <w:left w:w="80" w:type="dxa"/>
              <w:bottom w:w="80" w:type="dxa"/>
              <w:right w:w="80" w:type="dxa"/>
            </w:tcMar>
          </w:tcPr>
          <w:p>
            <w:pPr>
              <w:spacing w:after="60" w:line="240" w:lineRule="auto"/>
            </w:pPr>
            <w:r>
              <w:rPr>
                <w:b w:val="0"/>
                <w:i w:val="0"/>
                <w:sz w:val="19"/>
              </w:rPr>
              <w:t>0</w:t>
            </w:r>
          </w:p>
        </w:tc>
        <w:tc>
          <w:tcPr>
            <w:tcW w:type="dxa" w:w="2823"/>
            <w:tcMar>
              <w:top w:w="80" w:type="dxa"/>
              <w:left w:w="80" w:type="dxa"/>
              <w:bottom w:w="80" w:type="dxa"/>
              <w:right w:w="80" w:type="dxa"/>
            </w:tcMar>
          </w:tcPr>
          <w:p>
            <w:pPr>
              <w:spacing w:after="60" w:line="240" w:lineRule="auto"/>
            </w:pPr>
            <w:r>
              <w:rPr>
                <w:b w:val="0"/>
                <w:i w:val="0"/>
                <w:sz w:val="19"/>
              </w:rPr>
              <w:t>1.00</w:t>
            </w:r>
          </w:p>
        </w:tc>
        <w:tc>
          <w:tcPr>
            <w:tcW w:type="dxa" w:w="2823"/>
            <w:tcMar>
              <w:top w:w="80" w:type="dxa"/>
              <w:left w:w="80" w:type="dxa"/>
              <w:bottom w:w="80" w:type="dxa"/>
              <w:right w:w="80" w:type="dxa"/>
            </w:tcMar>
          </w:tcPr>
          <w:p>
            <w:pPr>
              <w:spacing w:after="60" w:line="240" w:lineRule="auto"/>
            </w:pPr>
            <w:r>
              <w:rPr>
                <w:b w:val="0"/>
                <w:i w:val="0"/>
                <w:sz w:val="19"/>
              </w:rPr>
              <w:t>1.00</w:t>
            </w:r>
          </w:p>
        </w:tc>
        <w:tc>
          <w:tcPr>
            <w:tcW w:type="dxa" w:w="2823"/>
            <w:tcMar>
              <w:top w:w="80" w:type="dxa"/>
              <w:left w:w="80" w:type="dxa"/>
              <w:bottom w:w="80" w:type="dxa"/>
              <w:right w:w="80" w:type="dxa"/>
            </w:tcMar>
          </w:tcPr>
          <w:p>
            <w:pPr>
              <w:spacing w:after="60" w:line="240" w:lineRule="auto"/>
            </w:pPr>
            <w:r>
              <w:rPr>
                <w:b w:val="0"/>
                <w:i w:val="0"/>
                <w:sz w:val="19"/>
              </w:rPr>
              <w:t>1.00</w:t>
            </w:r>
          </w:p>
        </w:tc>
      </w:tr>
    </w:tbl>
    <w:p>
      <w:r>
        <w:rPr>
          <w:b/>
          <w:i w:val="0"/>
        </w:rPr>
        <w:t>The one-mismatch (NBRE-like) class.</w:t>
      </w:r>
      <w:r>
        <w:rPr>
          <w:b w:val="0"/>
          <w:i w:val="0"/>
        </w:rPr>
        <w:t xml:space="preserve"> Brenca </w:t>
      </w:r>
      <w:r>
        <w:rPr>
          <w:b w:val="0"/>
          <w:i/>
        </w:rPr>
        <w:t>et al.</w:t>
      </w:r>
      <w:r>
        <w:rPr>
          <w:b w:val="0"/>
          <w:i w:val="0"/>
        </w:rPr>
        <w:t xml:space="preserve"> report a predicted NBRE-</w:t>
      </w:r>
      <w:r>
        <w:rPr>
          <w:b w:val="0"/>
          <w:i/>
        </w:rPr>
        <w:t>like</w:t>
      </w:r>
      <w:r>
        <w:rPr>
          <w:b w:val="0"/>
          <w:i w:val="0"/>
        </w:rPr>
        <w:t xml:space="preserve"> site at </w:t>
      </w:r>
      <w:r>
        <w:rPr>
          <w:b w:val="0"/>
          <w:i/>
        </w:rPr>
        <w:t>SEMA3C</w:t>
      </w:r>
      <w:r>
        <w:rPr>
          <w:b w:val="0"/>
          <w:i w:val="0"/>
        </w:rPr>
        <w:t>, which by construction is not an exact NBRE, so the exact scan is not a test of their claim.</w:t>
      </w:r>
    </w:p>
    <w:p>
      <w:r>
        <w:rPr>
          <w:b w:val="0"/>
          <w:i w:val="0"/>
        </w:rPr>
        <w:t xml:space="preserve">Octamers matching the NBRE with </w:t>
      </w:r>
      <w:r>
        <w:rPr>
          <w:b/>
          <w:i w:val="0"/>
        </w:rPr>
        <w:t>at most one substitution</w:t>
      </w:r>
      <w:r>
        <w:rPr>
          <w:b w:val="0"/>
          <w:i w:val="0"/>
        </w:rPr>
        <w:t xml:space="preserve"> were therefore scanned with their own null, taken from the </w:t>
      </w:r>
      <w:r>
        <w:rPr>
          <w:b w:val="0"/>
          <w:i/>
        </w:rPr>
        <w:t>same</w:t>
      </w:r>
      <w:r>
        <w:rPr>
          <w:b w:val="0"/>
          <w:i w:val="0"/>
        </w:rPr>
        <w:t xml:space="preserve"> shuffled sequences so every exact figure is unchanged. </w:t>
      </w:r>
      <w:r>
        <w:rPr>
          <w:b w:val="0"/>
          <w:i/>
        </w:rPr>
        <w:t>SEMA3C</w:t>
      </w:r>
      <w:r>
        <w:rPr>
          <w:b w:val="0"/>
          <w:i w:val="0"/>
        </w:rPr>
        <w:t xml:space="preserve">'s window carries </w:t>
      </w:r>
      <w:r>
        <w:rPr>
          <w:b/>
          <w:i w:val="0"/>
        </w:rPr>
        <w:t>39</w:t>
      </w:r>
      <w:r>
        <w:rPr>
          <w:b w:val="0"/>
          <w:i w:val="0"/>
        </w:rPr>
        <w:t xml:space="preserve"> one-mismatch sites, the most among the three class-A genes (</w:t>
      </w:r>
      <w:r>
        <w:rPr>
          <w:b w:val="0"/>
          <w:i/>
        </w:rPr>
        <w:t>PPARG</w:t>
      </w:r>
      <w:r>
        <w:rPr>
          <w:b w:val="0"/>
          <w:i w:val="0"/>
        </w:rPr>
        <w:t xml:space="preserve"> 32, </w:t>
      </w:r>
      <w:r>
        <w:rPr>
          <w:b w:val="0"/>
          <w:i/>
        </w:rPr>
        <w:t>ENO3</w:t>
      </w:r>
      <w:r>
        <w:rPr>
          <w:b w:val="0"/>
          <w:i w:val="0"/>
        </w:rPr>
        <w:t xml:space="preserve"> 28). It is not the highest count among all windows: 7 of the 198 background windows have at least 39, with a maximum of 43.</w:t>
      </w:r>
    </w:p>
    <w:p>
      <w:r>
        <w:rPr>
          <w:b w:val="0"/>
          <w:i w:val="0"/>
        </w:rPr>
        <w:t xml:space="preserve">The count does not reject the composition-based explanation: the null mean is 33.7, with p = 0.203 against the dinucleotide-preserving shuffle and p = 0.118 in the GC-matched comparison. These non-significant results do not prove that composition explains the count. Only the raw panel rank, which does not account for composition, suggests enrichment (p = 0.040). </w:t>
      </w:r>
      <w:r>
        <w:rPr>
          <w:b w:val="0"/>
          <w:i/>
        </w:rPr>
        <w:t>SEMA3C</w:t>
      </w:r>
      <w:r>
        <w:rPr>
          <w:b w:val="0"/>
          <w:i w:val="0"/>
        </w:rPr>
        <w:t>'s window is the most AT-rich of the focus set (GC 0.371), while the NBRE is itself AT-leaning; GC-matching addresses that possible source of a high raw rank.</w:t>
      </w:r>
    </w:p>
    <w:p>
      <w:r>
        <w:rPr>
          <w:b w:val="0"/>
          <w:i w:val="0"/>
        </w:rPr>
        <w:t xml:space="preserve">The converse holds for </w:t>
      </w:r>
      <w:r>
        <w:rPr>
          <w:b w:val="0"/>
          <w:i/>
        </w:rPr>
        <w:t>ENO3</w:t>
      </w:r>
      <w:r>
        <w:rPr>
          <w:b w:val="0"/>
          <w:i w:val="0"/>
        </w:rPr>
        <w:t xml:space="preserve">: its one-mismatch count is </w:t>
      </w:r>
      <w:r>
        <w:rPr>
          <w:b w:val="0"/>
          <w:i/>
        </w:rPr>
        <w:t>not</w:t>
      </w:r>
      <w:r>
        <w:rPr>
          <w:b w:val="0"/>
          <w:i w:val="0"/>
        </w:rPr>
        <w:t xml:space="preserve"> enriched (28 against a null mean of 25.6, p = 0.336), so its signal sits in exact NBREs rather than in degenerate ones.</w:t>
      </w:r>
    </w:p>
    <w:p>
      <w:r>
        <w:rPr>
          <w:b/>
          <w:i w:val="0"/>
        </w:rPr>
        <w:t>A one-mismatch match is a weaker claim than an exact NBRE, not a stronger one</w:t>
      </w:r>
      <w:r>
        <w:rPr>
          <w:b w:val="0"/>
          <w:i w:val="0"/>
        </w:rPr>
        <w:t>: it admits many sequences per position, most of which no NR4A protein has been shown to bind. The calibration bounds a count; it does not license calling any hit a site.</w:t>
      </w:r>
    </w:p>
    <w:p>
      <w:r>
        <w:rPr>
          <w:b/>
          <w:i w:val="0"/>
        </w:rPr>
        <w:t>The hit positions do not reproduce the published coordinates.</w:t>
      </w:r>
    </w:p>
    <w:p>
      <w:r>
        <w:rPr>
          <w:b w:val="0"/>
          <w:i w:val="0"/>
        </w:rPr>
        <w:t xml:space="preserve">Kim </w:t>
      </w:r>
      <w:r>
        <w:rPr>
          <w:b w:val="0"/>
          <w:i/>
        </w:rPr>
        <w:t>et al.</w:t>
      </w:r>
      <w:r>
        <w:rPr>
          <w:b w:val="0"/>
          <w:i w:val="0"/>
        </w:rPr>
        <w:t xml:space="preserve"> report two NBREs upstream of the </w:t>
      </w:r>
      <w:r>
        <w:rPr>
          <w:b w:val="0"/>
          <w:i/>
        </w:rPr>
        <w:t>ENO3</w:t>
      </w:r>
      <w:r>
        <w:rPr>
          <w:b w:val="0"/>
          <w:i w:val="0"/>
        </w:rPr>
        <w:t xml:space="preserve"> TSS; this scan finds one upstream (−8.7 kb) and three downstream.</w:t>
      </w:r>
    </w:p>
    <w:p>
      <w:r>
        <w:rPr>
          <w:b w:val="0"/>
          <w:i w:val="0"/>
        </w:rPr>
        <w:t xml:space="preserve">Filion </w:t>
      </w:r>
      <w:r>
        <w:rPr>
          <w:b w:val="0"/>
          <w:i/>
        </w:rPr>
        <w:t>et al.</w:t>
      </w:r>
      <w:r>
        <w:rPr>
          <w:b w:val="0"/>
          <w:i w:val="0"/>
        </w:rPr>
        <w:t xml:space="preserve"> report a perfect NBRE at −675 bp of </w:t>
      </w:r>
      <w:r>
        <w:rPr>
          <w:b w:val="0"/>
          <w:i/>
        </w:rPr>
        <w:t>PPARG</w:t>
      </w:r>
      <w:r>
        <w:rPr>
          <w:b w:val="0"/>
          <w:i w:val="0"/>
        </w:rPr>
        <w:t>; the nearest hit here is −186.</w:t>
      </w:r>
    </w:p>
    <w:p>
      <w:r>
        <w:rPr>
          <w:b w:val="0"/>
          <w:i w:val="0"/>
        </w:rPr>
        <w:t xml:space="preserve">Both papers numbered from their own promoter constructs, and </w:t>
      </w:r>
      <w:r>
        <w:rPr>
          <w:b w:val="0"/>
          <w:i/>
        </w:rPr>
        <w:t>PPARG</w:t>
      </w:r>
      <w:r>
        <w:rPr>
          <w:b w:val="0"/>
          <w:i w:val="0"/>
        </w:rPr>
        <w:t xml:space="preserve"> has multiple promoters, so the offsets are not directly comparable.</w:t>
      </w:r>
    </w:p>
    <w:p>
      <w:r>
        <w:rPr>
          <w:b/>
          <w:i w:val="0"/>
        </w:rPr>
        <w:t>This scan neither confirms nor refutes the published site positions</w:t>
      </w:r>
      <w:r>
        <w:rPr>
          <w:b w:val="0"/>
          <w:i w:val="0"/>
        </w:rPr>
        <w:t>, and a motif scan cannot refute a measured binding event at a named locus in any case.</w:t>
      </w:r>
    </w:p>
    <w:p>
      <w:pPr>
        <w:pStyle w:val="Heading1"/>
      </w:pPr>
      <w:r>
        <w:rPr>
          <w:b w:val="0"/>
          <w:i w:val="0"/>
        </w:rPr>
        <w:t>S7 · The cohort search — every query, and every record it returned</w:t>
      </w:r>
    </w:p>
    <w:p>
      <w:r>
        <w:rPr>
          <w:b w:val="0"/>
          <w:i w:val="0"/>
        </w:rPr>
        <w:t>Main-text §2.7 gives the method and main text §3.13 and Supplementary File 2, Table S15 the result. This section carries the queries verbatim, because a search reported only by its conclusion cannot be checked or repeated.</w:t>
      </w:r>
    </w:p>
    <w:p>
      <w:pPr>
        <w:keepNext/>
        <w:spacing w:before="160"/>
      </w:pPr>
      <w:r>
        <w:rPr>
          <w:b/>
          <w:i w:val="0"/>
        </w:rPr>
        <w:t>Table S7. The six queries, with the reason each was included.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603"/>
        <w:gridCol w:w="5003"/>
        <w:gridCol w:w="4304"/>
        <w:gridCol w:w="1603"/>
        <w:gridCol w:w="1603"/>
      </w:tblGrid>
      <w:tr>
        <w:trPr>
          <w:cantSplit/>
          <w:tblHeader/>
        </w:trPr>
        <w:tc>
          <w:tcPr>
            <w:tcW w:type="dxa" w:w="1603"/>
            <w:tcMar>
              <w:top w:w="80" w:type="dxa"/>
              <w:left w:w="80" w:type="dxa"/>
              <w:bottom w:w="80" w:type="dxa"/>
              <w:right w:w="80" w:type="dxa"/>
            </w:tcMar>
          </w:tcPr>
          <w:p>
            <w:pPr>
              <w:keepNext/>
              <w:spacing w:after="60" w:line="240" w:lineRule="auto"/>
            </w:pPr>
            <w:r>
              <w:rPr>
                <w:b/>
                <w:i w:val="0"/>
                <w:sz w:val="19"/>
              </w:rPr>
              <w:t>#</w:t>
            </w:r>
          </w:p>
        </w:tc>
        <w:tc>
          <w:tcPr>
            <w:tcW w:type="dxa" w:w="5003"/>
            <w:tcMar>
              <w:top w:w="80" w:type="dxa"/>
              <w:left w:w="80" w:type="dxa"/>
              <w:bottom w:w="80" w:type="dxa"/>
              <w:right w:w="80" w:type="dxa"/>
            </w:tcMar>
          </w:tcPr>
          <w:p>
            <w:pPr>
              <w:keepNext/>
              <w:spacing w:after="60" w:line="240" w:lineRule="auto"/>
            </w:pPr>
            <w:r>
              <w:rPr>
                <w:b/>
                <w:i w:val="0"/>
                <w:sz w:val="19"/>
              </w:rPr>
              <w:t xml:space="preserve">query (NCBI E-utilities, </w:t>
            </w:r>
            <w:r>
              <w:rPr>
                <w:rFonts w:ascii="Consolas" w:hAnsi="Consolas"/>
                <w:b/>
                <w:i w:val="0"/>
                <w:sz w:val="19"/>
              </w:rPr>
              <w:t>db=gds</w:t>
            </w:r>
            <w:r>
              <w:rPr>
                <w:b/>
                <w:i w:val="0"/>
                <w:sz w:val="19"/>
              </w:rPr>
              <w:t>)</w:t>
            </w:r>
          </w:p>
        </w:tc>
        <w:tc>
          <w:tcPr>
            <w:tcW w:type="dxa" w:w="4304"/>
            <w:tcMar>
              <w:top w:w="80" w:type="dxa"/>
              <w:left w:w="80" w:type="dxa"/>
              <w:bottom w:w="80" w:type="dxa"/>
              <w:right w:w="80" w:type="dxa"/>
            </w:tcMar>
          </w:tcPr>
          <w:p>
            <w:pPr>
              <w:keepNext/>
              <w:spacing w:after="60" w:line="240" w:lineRule="auto"/>
            </w:pPr>
            <w:r>
              <w:rPr>
                <w:b/>
                <w:i w:val="0"/>
                <w:sz w:val="19"/>
              </w:rPr>
              <w:t>why</w:t>
            </w:r>
          </w:p>
        </w:tc>
        <w:tc>
          <w:tcPr>
            <w:tcW w:type="dxa" w:w="1603"/>
            <w:tcMar>
              <w:top w:w="80" w:type="dxa"/>
              <w:left w:w="80" w:type="dxa"/>
              <w:bottom w:w="80" w:type="dxa"/>
              <w:right w:w="80" w:type="dxa"/>
            </w:tcMar>
          </w:tcPr>
          <w:p>
            <w:pPr>
              <w:keepNext/>
              <w:spacing w:after="60" w:line="240" w:lineRule="auto"/>
            </w:pPr>
            <w:r>
              <w:rPr>
                <w:b/>
                <w:i w:val="0"/>
                <w:sz w:val="19"/>
              </w:rPr>
              <w:t>as written</w:t>
            </w:r>
          </w:p>
        </w:tc>
        <w:tc>
          <w:tcPr>
            <w:tcW w:type="dxa" w:w="1603"/>
            <w:tcMar>
              <w:top w:w="80" w:type="dxa"/>
              <w:left w:w="80" w:type="dxa"/>
              <w:bottom w:w="80" w:type="dxa"/>
              <w:right w:w="80" w:type="dxa"/>
            </w:tcMar>
          </w:tcPr>
          <w:p>
            <w:pPr>
              <w:keepNext/>
              <w:spacing w:after="60" w:line="240" w:lineRule="auto"/>
            </w:pPr>
            <w:r>
              <w:rPr>
                <w:b/>
                <w:i w:val="0"/>
                <w:sz w:val="19"/>
              </w:rPr>
              <w:t>repaired</w:t>
            </w:r>
          </w:p>
        </w:tc>
      </w:tr>
      <w:tr>
        <w:trPr>
          <w:cantSplit/>
        </w:trPr>
        <w:tc>
          <w:tcPr>
            <w:tcW w:type="dxa" w:w="1603"/>
            <w:tcMar>
              <w:top w:w="80" w:type="dxa"/>
              <w:left w:w="80" w:type="dxa"/>
              <w:bottom w:w="80" w:type="dxa"/>
              <w:right w:w="80" w:type="dxa"/>
            </w:tcMar>
          </w:tcPr>
          <w:p>
            <w:pPr>
              <w:spacing w:after="60" w:line="240" w:lineRule="auto"/>
            </w:pPr>
            <w:r>
              <w:rPr>
                <w:b w:val="0"/>
                <w:i w:val="0"/>
                <w:sz w:val="19"/>
              </w:rPr>
              <w:t>1</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"extraskeletal myxoid chondrosarcoma"[All Fields]</w:t>
            </w:r>
          </w:p>
        </w:tc>
        <w:tc>
          <w:tcPr>
            <w:tcW w:type="dxa" w:w="4304"/>
            <w:tcMar>
              <w:top w:w="80" w:type="dxa"/>
              <w:left w:w="80" w:type="dxa"/>
              <w:bottom w:w="80" w:type="dxa"/>
              <w:right w:w="80" w:type="dxa"/>
            </w:tcMar>
          </w:tcPr>
          <w:p>
            <w:pPr>
              <w:spacing w:after="60" w:line="240" w:lineRule="auto"/>
            </w:pPr>
            <w:r>
              <w:rPr>
                <w:b w:val="0"/>
                <w:i w:val="0"/>
                <w:sz w:val="19"/>
              </w:rPr>
              <w:t>the disease name in full — highest precision</w:t>
            </w:r>
          </w:p>
        </w:tc>
        <w:tc>
          <w:tcPr>
            <w:tcW w:type="dxa" w:w="1603"/>
            <w:tcMar>
              <w:top w:w="80" w:type="dxa"/>
              <w:left w:w="80" w:type="dxa"/>
              <w:bottom w:w="80" w:type="dxa"/>
              <w:right w:w="80" w:type="dxa"/>
            </w:tcMar>
          </w:tcPr>
          <w:p>
            <w:pPr>
              <w:spacing w:after="60" w:line="240" w:lineRule="auto"/>
            </w:pPr>
            <w:r>
              <w:rPr>
                <w:b/>
                <w:i w:val="0"/>
                <w:sz w:val="19"/>
              </w:rPr>
              <w:t>17</w:t>
            </w:r>
          </w:p>
        </w:tc>
        <w:tc>
          <w:tcPr>
            <w:tcW w:type="dxa" w:w="1603"/>
            <w:tcMar>
              <w:top w:w="80" w:type="dxa"/>
              <w:left w:w="80" w:type="dxa"/>
              <w:bottom w:w="80" w:type="dxa"/>
              <w:right w:w="80" w:type="dxa"/>
            </w:tcMar>
          </w:tcPr>
          <w:p>
            <w:pPr>
              <w:spacing w:after="60" w:line="240" w:lineRule="auto"/>
            </w:pPr>
            <w:r>
              <w:rPr>
                <w:b w:val="0"/>
                <w:i w:val="0"/>
                <w:sz w:val="19"/>
              </w:rPr>
              <w:t>—</w:t>
            </w:r>
          </w:p>
        </w:tc>
      </w:tr>
      <w:tr>
        <w:trPr>
          <w:cantSplit/>
        </w:trPr>
        <w:tc>
          <w:tcPr>
            <w:tcW w:type="dxa" w:w="1603"/>
            <w:tcMar>
              <w:top w:w="80" w:type="dxa"/>
              <w:left w:w="80" w:type="dxa"/>
              <w:bottom w:w="80" w:type="dxa"/>
              <w:right w:w="80" w:type="dxa"/>
            </w:tcMar>
          </w:tcPr>
          <w:p>
            <w:pPr>
              <w:spacing w:after="60" w:line="240" w:lineRule="auto"/>
            </w:pPr>
            <w:r>
              <w:rPr>
                <w:b w:val="0"/>
                <w:i w:val="0"/>
                <w:sz w:val="19"/>
              </w:rPr>
              <w:t>2</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"myxoid chondrosarcoma"[All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the shortened name, restricted to expression series</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2</w:t>
            </w:r>
          </w:p>
        </w:tc>
      </w:tr>
      <w:tr>
        <w:trPr>
          <w:cantSplit/>
        </w:trPr>
        <w:tc>
          <w:tcPr>
            <w:tcW w:type="dxa" w:w="1603"/>
            <w:tcMar>
              <w:top w:w="80" w:type="dxa"/>
              <w:left w:w="80" w:type="dxa"/>
              <w:bottom w:w="80" w:type="dxa"/>
              <w:right w:w="80" w:type="dxa"/>
            </w:tcMar>
          </w:tcPr>
          <w:p>
            <w:pPr>
              <w:spacing w:after="60" w:line="240" w:lineRule="auto"/>
            </w:pPr>
            <w:r>
              <w:rPr>
                <w:b w:val="0"/>
                <w:i w:val="0"/>
                <w:sz w:val="19"/>
              </w:rPr>
              <w:t>3</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(EWSR1 AND NR4A3) OR "EWS-NOR1" OR "EWSR1-NR4A3" OR "TAF15-NR4A3"</w:t>
            </w:r>
          </w:p>
        </w:tc>
        <w:tc>
          <w:tcPr>
            <w:tcW w:type="dxa" w:w="4304"/>
            <w:tcMar>
              <w:top w:w="80" w:type="dxa"/>
              <w:left w:w="80" w:type="dxa"/>
              <w:bottom w:w="80" w:type="dxa"/>
              <w:right w:w="80" w:type="dxa"/>
            </w:tcMar>
          </w:tcPr>
          <w:p>
            <w:pPr>
              <w:spacing w:after="60" w:line="240" w:lineRule="auto"/>
            </w:pPr>
            <w:r>
              <w:rPr>
                <w:b w:val="0"/>
                <w:i w:val="0"/>
                <w:sz w:val="19"/>
              </w:rPr>
              <w:t>the fusion rather than the disease — catches a deposit indexed by its driver</w:t>
            </w:r>
          </w:p>
        </w:tc>
        <w:tc>
          <w:tcPr>
            <w:tcW w:type="dxa" w:w="1603"/>
            <w:tcMar>
              <w:top w:w="80" w:type="dxa"/>
              <w:left w:w="80" w:type="dxa"/>
              <w:bottom w:w="80" w:type="dxa"/>
              <w:right w:w="80" w:type="dxa"/>
            </w:tcMar>
          </w:tcPr>
          <w:p>
            <w:pPr>
              <w:spacing w:after="60" w:line="240" w:lineRule="auto"/>
            </w:pPr>
            <w:r>
              <w:rPr>
                <w:b/>
                <w:i w:val="0"/>
                <w:sz w:val="19"/>
              </w:rPr>
              <w:t>5</w:t>
            </w:r>
          </w:p>
        </w:tc>
        <w:tc>
          <w:tcPr>
            <w:tcW w:type="dxa" w:w="1603"/>
            <w:tcMar>
              <w:top w:w="80" w:type="dxa"/>
              <w:left w:w="80" w:type="dxa"/>
              <w:bottom w:w="80" w:type="dxa"/>
              <w:right w:w="80" w:type="dxa"/>
            </w:tcMar>
          </w:tcPr>
          <w:p>
            <w:pPr>
              <w:spacing w:after="60" w:line="240" w:lineRule="auto"/>
            </w:pPr>
            <w:r>
              <w:rPr>
                <w:b w:val="0"/>
                <w:i w:val="0"/>
                <w:sz w:val="19"/>
              </w:rPr>
              <w:t>—</w:t>
            </w:r>
          </w:p>
        </w:tc>
      </w:tr>
      <w:tr>
        <w:trPr>
          <w:cantSplit/>
        </w:trPr>
        <w:tc>
          <w:tcPr>
            <w:tcW w:type="dxa" w:w="1603"/>
            <w:tcMar>
              <w:top w:w="80" w:type="dxa"/>
              <w:left w:w="80" w:type="dxa"/>
              <w:bottom w:w="80" w:type="dxa"/>
              <w:right w:w="80" w:type="dxa"/>
            </w:tcMar>
          </w:tcPr>
          <w:p>
            <w:pPr>
              <w:spacing w:after="60" w:line="240" w:lineRule="auto"/>
            </w:pPr>
            <w:r>
              <w:rPr>
                <w:b w:val="0"/>
                <w:i w:val="0"/>
                <w:sz w:val="19"/>
              </w:rPr>
              <w:t>4</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NR4A3[All Fields] AND sarcoma[All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 xml:space="preserve">the 3′ partner plus lineage, for a deposit naming </w:t>
            </w:r>
            <w:r>
              <w:rPr>
                <w:b w:val="0"/>
                <w:i/>
                <w:sz w:val="19"/>
              </w:rPr>
              <w:t>NR4A3</w:t>
            </w:r>
            <w:r>
              <w:rPr>
                <w:b w:val="0"/>
                <w:i w:val="0"/>
                <w:sz w:val="19"/>
              </w:rPr>
              <w:t xml:space="preserve"> but not EMC</w:t>
            </w:r>
          </w:p>
        </w:tc>
        <w:tc>
          <w:tcPr>
            <w:tcW w:type="dxa" w:w="1603"/>
            <w:tcMar>
              <w:top w:w="80" w:type="dxa"/>
              <w:left w:w="80" w:type="dxa"/>
              <w:bottom w:w="80" w:type="dxa"/>
              <w:right w:w="80" w:type="dxa"/>
            </w:tcMar>
          </w:tcPr>
          <w:p>
            <w:pPr>
              <w:spacing w:after="60" w:line="240" w:lineRule="auto"/>
            </w:pPr>
            <w:r>
              <w:rPr>
                <w:b w:val="0"/>
                <w:i w:val="0"/>
                <w:sz w:val="19"/>
              </w:rPr>
              <w:t>0</w:t>
            </w:r>
          </w:p>
        </w:tc>
        <w:tc>
          <w:tcPr>
            <w:tcW w:type="dxa" w:w="1603"/>
            <w:tcMar>
              <w:top w:w="80" w:type="dxa"/>
              <w:left w:w="80" w:type="dxa"/>
              <w:bottom w:w="80" w:type="dxa"/>
              <w:right w:w="80" w:type="dxa"/>
            </w:tcMar>
          </w:tcPr>
          <w:p>
            <w:pPr>
              <w:spacing w:after="60" w:line="240" w:lineRule="auto"/>
            </w:pPr>
            <w:r>
              <w:rPr>
                <w:b/>
                <w:i w:val="0"/>
                <w:sz w:val="19"/>
              </w:rPr>
              <w:t>0</w:t>
            </w:r>
            <w:r>
              <w:rPr>
                <w:b w:val="0"/>
                <w:i w:val="0"/>
                <w:sz w:val="19"/>
              </w:rPr>
              <w:t xml:space="preserve"> — a confirmed zero</w:t>
            </w:r>
          </w:p>
        </w:tc>
      </w:tr>
      <w:tr>
        <w:trPr>
          <w:cantSplit/>
        </w:trPr>
        <w:tc>
          <w:tcPr>
            <w:tcW w:type="dxa" w:w="1603"/>
            <w:tcMar>
              <w:top w:w="80" w:type="dxa"/>
              <w:left w:w="80" w:type="dxa"/>
              <w:bottom w:w="80" w:type="dxa"/>
              <w:right w:w="80" w:type="dxa"/>
            </w:tcMar>
          </w:tcPr>
          <w:p>
            <w:pPr>
              <w:spacing w:after="60" w:line="240" w:lineRule="auto"/>
            </w:pPr>
            <w:r>
              <w:rPr>
                <w:b w:val="0"/>
                <w:i w:val="0"/>
                <w:sz w:val="19"/>
              </w:rPr>
              <w:t>5</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"chondrosarcoma"[All Fields] AND "expression profiling"[Filter] AND "Homo sapiens"[Organism]</w:t>
            </w:r>
          </w:p>
        </w:tc>
        <w:tc>
          <w:tcPr>
            <w:tcW w:type="dxa" w:w="4304"/>
            <w:tcMar>
              <w:top w:w="80" w:type="dxa"/>
              <w:left w:w="80" w:type="dxa"/>
              <w:bottom w:w="80" w:type="dxa"/>
              <w:right w:w="80" w:type="dxa"/>
            </w:tcMar>
          </w:tcPr>
          <w:p>
            <w:pPr>
              <w:spacing w:after="60" w:line="240" w:lineRule="auto"/>
            </w:pPr>
            <w:r>
              <w:rPr>
                <w:b w:val="0"/>
                <w:i w:val="0"/>
                <w:sz w:val="19"/>
              </w:rPr>
              <w:t>deliberately over-broad: EMC samples inside a general chondrosarcoma series</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4</w:t>
            </w:r>
          </w:p>
        </w:tc>
      </w:tr>
      <w:tr>
        <w:trPr>
          <w:cantSplit/>
        </w:trPr>
        <w:tc>
          <w:tcPr>
            <w:tcW w:type="dxa" w:w="1603"/>
            <w:tcMar>
              <w:top w:w="80" w:type="dxa"/>
              <w:left w:w="80" w:type="dxa"/>
              <w:bottom w:w="80" w:type="dxa"/>
              <w:right w:w="80" w:type="dxa"/>
            </w:tcMar>
          </w:tcPr>
          <w:p>
            <w:pPr>
              <w:spacing w:after="60" w:line="240" w:lineRule="auto"/>
            </w:pPr>
            <w:r>
              <w:rPr>
                <w:b w:val="0"/>
                <w:i w:val="0"/>
                <w:sz w:val="19"/>
              </w:rPr>
              <w:t>6</w:t>
            </w:r>
          </w:p>
        </w:tc>
        <w:tc>
          <w:tcPr>
            <w:tcW w:type="dxa" w:w="5003"/>
            <w:tcMar>
              <w:top w:w="80" w:type="dxa"/>
              <w:left w:w="80" w:type="dxa"/>
              <w:bottom w:w="80" w:type="dxa"/>
              <w:right w:w="80" w:type="dxa"/>
            </w:tcMar>
          </w:tcPr>
          <w:p>
            <w:pPr>
              <w:spacing w:after="60" w:line="240" w:lineRule="auto"/>
            </w:pPr>
            <w:r>
              <w:rPr>
                <w:rFonts w:ascii="Consolas" w:hAnsi="Consolas"/>
                <w:b w:val="0"/>
                <w:i w:val="0"/>
                <w:sz w:val="19"/>
              </w:rPr>
              <w:t>sarcoma[All Fields] AND "translocation"[All Fields] AND "expression profiling"[Filter]</w:t>
            </w:r>
          </w:p>
        </w:tc>
        <w:tc>
          <w:tcPr>
            <w:tcW w:type="dxa" w:w="4304"/>
            <w:tcMar>
              <w:top w:w="80" w:type="dxa"/>
              <w:left w:w="80" w:type="dxa"/>
              <w:bottom w:w="80" w:type="dxa"/>
              <w:right w:w="80" w:type="dxa"/>
            </w:tcMar>
          </w:tcPr>
          <w:p>
            <w:pPr>
              <w:spacing w:after="60" w:line="240" w:lineRule="auto"/>
            </w:pPr>
            <w:r>
              <w:rPr>
                <w:b w:val="0"/>
                <w:i w:val="0"/>
                <w:sz w:val="19"/>
              </w:rPr>
              <w:t>translocation-sarcoma panels, the kind of deposit EMC hides inside</w:t>
            </w:r>
          </w:p>
        </w:tc>
        <w:tc>
          <w:tcPr>
            <w:tcW w:type="dxa" w:w="1603"/>
            <w:tcMar>
              <w:top w:w="80" w:type="dxa"/>
              <w:left w:w="80" w:type="dxa"/>
              <w:bottom w:w="80" w:type="dxa"/>
              <w:right w:w="80" w:type="dxa"/>
            </w:tcMar>
          </w:tcPr>
          <w:p>
            <w:pPr>
              <w:spacing w:after="60" w:line="240" w:lineRule="auto"/>
            </w:pPr>
            <w:r>
              <w:rPr>
                <w:b w:val="0"/>
                <w:i w:val="0"/>
                <w:sz w:val="19"/>
              </w:rPr>
              <w:t>0 ⚠</w:t>
            </w:r>
          </w:p>
        </w:tc>
        <w:tc>
          <w:tcPr>
            <w:tcW w:type="dxa" w:w="1603"/>
            <w:tcMar>
              <w:top w:w="80" w:type="dxa"/>
              <w:left w:w="80" w:type="dxa"/>
              <w:bottom w:w="80" w:type="dxa"/>
              <w:right w:w="80" w:type="dxa"/>
            </w:tcMar>
          </w:tcPr>
          <w:p>
            <w:pPr>
              <w:spacing w:after="60" w:line="240" w:lineRule="auto"/>
            </w:pPr>
            <w:r>
              <w:rPr>
                <w:b/>
                <w:i w:val="0"/>
                <w:sz w:val="19"/>
              </w:rPr>
              <w:t>32</w:t>
            </w:r>
          </w:p>
        </w:tc>
      </w:tr>
    </w:tbl>
    <w:p>
      <w:r>
        <w:rPr>
          <w:b w:val="0"/>
          <w:i w:val="0"/>
        </w:rPr>
        <w:t>All six executed and none returned an error. The counts are each query's own raw return and sum to 60; the 56 records in §3.13 are what remains after de-duplication across the six, so a deposit returned by two queries is counted once there and twice here.</w:t>
      </w:r>
    </w:p>
    <w:p>
      <w:r>
        <w:rPr>
          <w:b/>
          <w:i w:val="0"/>
        </w:rPr>
        <w:t>Four queries first returned exactly zero, and that was a reading about the queries before it was a reading about GEO.</w:t>
      </w:r>
    </w:p>
    <w:p>
      <w:r>
        <w:rPr>
          <w:b w:val="0"/>
          <w:i w:val="0"/>
        </w:rPr>
        <w:t xml:space="preserve">All four carry an </w:t>
      </w:r>
      <w:r>
        <w:rPr>
          <w:rFonts w:ascii="Consolas" w:hAnsi="Consolas"/>
          <w:b w:val="0"/>
          <w:i w:val="0"/>
          <w:sz w:val="18"/>
        </w:rPr>
        <w:t>"expression profiling"[Filter]</w:t>
      </w:r>
      <w:r>
        <w:rPr>
          <w:b w:val="0"/>
          <w:i w:val="0"/>
        </w:rPr>
        <w:t xml:space="preserve"> clause; the two that returned records do not.</w:t>
      </w:r>
    </w:p>
    <w:p>
      <w:r>
        <w:rPr>
          <w:b w:val="0"/>
          <w:i w:val="0"/>
        </w:rPr>
        <w:t>Query 5 asks GEO for human chondrosarcoma expression series — a question it cannot honestly answer with nothing.</w:t>
      </w:r>
    </w:p>
    <w:p>
      <w:r>
        <w:rPr>
          <w:b/>
          <w:i w:val="0"/>
        </w:rPr>
        <w:t>A zero and a malformed query are the same length</w:t>
      </w:r>
      <w:r>
        <w:rPr>
          <w:b w:val="0"/>
          <w:i w:val="0"/>
        </w:rPr>
        <w:t>, and reported as "six queries, no fourth cohort" this would have made the negative sound materially stronger than the evidence supported.</w:t>
      </w:r>
    </w:p>
    <w:p>
      <w:r>
        <w:rPr>
          <w:b/>
          <w:i w:val="0"/>
        </w:rPr>
        <w:t>The repair, and what it changed.</w:t>
      </w:r>
      <w:r>
        <w:rPr>
          <w:b w:val="0"/>
          <w:i w:val="0"/>
        </w:rPr>
        <w:t xml:space="preserve"> A zero-returning query carrying a field restriction is re-asked with the restriction lifted and the search terms unchanged; records from the repaired form are used and the query is recorded as </w:t>
      </w:r>
      <w:r>
        <w:rPr>
          <w:rFonts w:ascii="Consolas" w:hAnsi="Consolas"/>
          <w:b w:val="0"/>
          <w:i w:val="0"/>
          <w:sz w:val="18"/>
        </w:rPr>
        <w:t>read_after_syntax_repair</w:t>
      </w:r>
      <w:r>
        <w:rPr>
          <w:b w:val="0"/>
          <w:i w:val="0"/>
        </w:rPr>
        <w:t>.</w:t>
      </w:r>
    </w:p>
    <w:p>
      <w:r>
        <w:rPr>
          <w:b w:val="0"/>
          <w:i w:val="0"/>
        </w:rPr>
        <w:t xml:space="preserve">Three of the four then returned records — </w:t>
      </w:r>
      <w:r>
        <w:rPr>
          <w:b/>
          <w:i w:val="0"/>
        </w:rPr>
        <w:t>2, 4 and 32</w:t>
      </w:r>
      <w:r>
        <w:rPr>
          <w:b w:val="0"/>
          <w:i w:val="0"/>
        </w:rPr>
        <w:t xml:space="preserve"> — taking the search from 7 series to </w:t>
      </w:r>
      <w:r>
        <w:rPr>
          <w:b/>
          <w:i w:val="0"/>
        </w:rPr>
        <w:t>22</w:t>
      </w:r>
      <w:r>
        <w:rPr>
          <w:b w:val="0"/>
          <w:i w:val="0"/>
        </w:rPr>
        <w:t xml:space="preserve"> and from 22 records to </w:t>
      </w:r>
      <w:r>
        <w:rPr>
          <w:b/>
          <w:i w:val="0"/>
        </w:rPr>
        <w:t>56</w:t>
      </w:r>
      <w:r>
        <w:rPr>
          <w:b w:val="0"/>
          <w:i w:val="0"/>
        </w:rPr>
        <w:t>.</w:t>
      </w:r>
    </w:p>
    <w:p>
      <w:r>
        <w:rPr>
          <w:b w:val="0"/>
          <w:i w:val="0"/>
        </w:rPr>
        <w:t>Query 6, the translocation-sarcoma panel query written precisely because it is the kind of deposit EMC hides inside, accounted for 32 of them on its own.</w:t>
      </w:r>
    </w:p>
    <w:p>
      <w:pPr/>
      <w:r>
        <w:t>Query 4 retrieved no records in the unrestricted re-ask. This describes that query's retrieval result, not an absence of relevant evidence outside its reach.</w:t>
      </w:r>
    </w:p>
    <w:p>
      <w:r>
        <w:rPr>
          <w:b w:val="0"/>
          <w:i w:val="0"/>
        </w:rPr>
        <w:t xml:space="preserve">Both forms and both counts are in </w:t>
      </w:r>
      <w:r>
        <w:rPr>
          <w:rFonts w:ascii="Consolas" w:hAnsi="Consolas"/>
          <w:b w:val="0"/>
          <w:i w:val="0"/>
          <w:sz w:val="18"/>
        </w:rPr>
        <w:t>emc-cohort-search-inputs.json</w:t>
      </w:r>
      <w:r>
        <w:rPr>
          <w:b w:val="0"/>
          <w:i w:val="0"/>
        </w:rPr>
        <w:t>.</w:t>
      </w:r>
    </w:p>
    <w:p>
      <w:r>
        <w:rPr>
          <w:b/>
          <w:i w:val="0"/>
        </w:rPr>
        <w:t>The negative reported in Supplementary Table S15 is the repaired search.</w:t>
      </w:r>
      <w:r>
        <w:rPr>
          <w:b w:val="0"/>
          <w:i w:val="0"/>
        </w:rPr>
        <w:t xml:space="preserve"> The unrepaired one would have rested on two queries while presenting itself as six, and the seventeen sample-level zeros that give the negative its weight would not have existed — fifteen of those deposits arrived through the repaired queries.</w:t>
      </w:r>
    </w:p>
    <w:p>
      <w:r>
        <w:rPr>
          <w:b/>
          <w:i w:val="0"/>
        </w:rPr>
        <w:t>What the search declines to conclude, and one way it reaches further than expected.</w:t>
      </w:r>
      <w:r>
        <w:rPr>
          <w:b w:val="0"/>
          <w:i w:val="0"/>
        </w:rPr>
        <w:t xml:space="preserve"> GEO's </w:t>
      </w:r>
      <w:r>
        <w:rPr>
          <w:rFonts w:ascii="Consolas" w:hAnsi="Consolas"/>
          <w:b w:val="0"/>
          <w:i w:val="0"/>
          <w:sz w:val="18"/>
        </w:rPr>
        <w:t>esearch</w:t>
      </w:r>
      <w:r>
        <w:rPr>
          <w:b w:val="0"/>
          <w:i w:val="0"/>
        </w:rPr>
        <w:t xml:space="preserve"> matches the text of a record, so a deposit that names the disease nowhere in its GEO metadata is invisible to every query above however many EMC samples it holds.</w:t>
      </w:r>
    </w:p>
    <w:p>
      <w:r>
        <w:rPr>
          <w:b w:val="0"/>
          <w:i w:val="0"/>
        </w:rPr>
        <w:t>That bound is real and is the reason this is a statement about reach rather than existence.</w:t>
      </w:r>
    </w:p>
    <w:p>
      <w:r>
        <w:rPr>
          <w:b/>
          <w:i w:val="0"/>
        </w:rPr>
        <w:t>But the index reaches past the series title and summary, which the returned records demonstrate directly.</w:t>
      </w:r>
    </w:p>
    <w:p>
      <w:r>
        <w:rPr>
          <w:b w:val="0"/>
          <w:i w:val="0"/>
        </w:rPr>
        <w:t>Neither GSE43632 (</w:t>
      </w:r>
      <w:r>
        <w:rPr>
          <w:b w:val="0"/>
          <w:i/>
        </w:rPr>
        <w:t>Large scale screening for fusion genes in sarcoma patient samples</w:t>
      </w:r>
      <w:r>
        <w:rPr>
          <w:b w:val="0"/>
          <w:i w:val="0"/>
        </w:rPr>
        <w:t xml:space="preserve">) nor GSE80126 names EMC in its title or summary. Query 1 nevertheless returned both when it searched the full disease name under </w:t>
      </w:r>
      <w:r>
        <w:rPr>
          <w:rFonts w:ascii="Consolas" w:hAnsi="Consolas"/>
          <w:b w:val="0"/>
          <w:i w:val="0"/>
          <w:sz w:val="18"/>
        </w:rPr>
        <w:t>[All Fields]</w:t>
      </w:r>
      <w:r>
        <w:rPr>
          <w:b w:val="0"/>
          <w:i w:val="0"/>
        </w:rPr>
        <w:t xml:space="preserve">. The </w:t>
      </w:r>
      <w:r>
        <w:rPr>
          <w:rFonts w:ascii="Consolas" w:hAnsi="Consolas"/>
          <w:b w:val="0"/>
          <w:i w:val="0"/>
          <w:sz w:val="18"/>
        </w:rPr>
        <w:t>[All Fields]</w:t>
      </w:r>
      <w:r>
        <w:rPr>
          <w:b w:val="0"/>
          <w:i w:val="0"/>
        </w:rPr>
        <w:t xml:space="preserve"> index therefore reaches text the module did not capture. Queries 4–6 were intended to find EMC samples within generically titled pan-sarcoma deposits. Their malformed form did not provide that coverage.</w:t>
      </w:r>
    </w:p>
    <w:p>
      <w:r>
        <w:rPr>
          <w:b w:val="0"/>
          <w:i w:val="0"/>
        </w:rPr>
        <w:t>Both were then read at sample level and carry no EMC sample.</w:t>
      </w:r>
    </w:p>
    <w:p>
      <w:r>
        <w:rPr>
          <w:b w:val="0"/>
          <w:i w:val="0"/>
        </w:rPr>
        <w:t>The coverage the broken queries were meant to provide was, in this instance, supplied by query 1 — which is a fortunate accident and not a design, and is recorded as such.</w:t>
      </w:r>
    </w:p>
    <w:p>
      <w:r>
        <w:rPr>
          <w:b/>
          <w:i w:val="0"/>
        </w:rPr>
        <w:t>Records excluded for not being deposits.</w:t>
      </w:r>
      <w:r>
        <w:rPr>
          <w:b w:val="0"/>
          <w:i w:val="0"/>
        </w:rPr>
        <w:t xml:space="preserve"> </w:t>
      </w:r>
      <w:r>
        <w:rPr>
          <w:rFonts w:ascii="Consolas" w:hAnsi="Consolas"/>
          <w:b w:val="0"/>
          <w:i w:val="0"/>
          <w:sz w:val="18"/>
        </w:rPr>
        <w:t>db=gds</w:t>
      </w:r>
      <w:r>
        <w:rPr>
          <w:b w:val="0"/>
          <w:i w:val="0"/>
        </w:rPr>
        <w:t xml:space="preserve"> returns sample and platform records alongside series, and most of what came back was neither.</w:t>
      </w:r>
    </w:p>
    <w:p>
      <w:r>
        <w:rPr>
          <w:b w:val="0"/>
          <w:i w:val="0"/>
        </w:rPr>
        <w:t xml:space="preserve">Of the 56 records: </w:t>
      </w:r>
      <w:r>
        <w:rPr>
          <w:b/>
          <w:i w:val="0"/>
        </w:rPr>
        <w:t>21 series</w:t>
      </w:r>
      <w:r>
        <w:rPr>
          <w:b w:val="0"/>
          <w:i w:val="0"/>
        </w:rPr>
        <w:t xml:space="preserve">, 1 curated dataset (GDS3481), </w:t>
      </w:r>
      <w:r>
        <w:rPr>
          <w:b/>
          <w:i w:val="0"/>
        </w:rPr>
        <w:t>30 individual sample records</w:t>
      </w:r>
      <w:r>
        <w:rPr>
          <w:b w:val="0"/>
          <w:i w:val="0"/>
        </w:rPr>
        <w:t xml:space="preserve"> and </w:t>
      </w:r>
      <w:r>
        <w:rPr>
          <w:b/>
          <w:i w:val="0"/>
        </w:rPr>
        <w:t>4 platform records</w:t>
      </w:r>
      <w:r>
        <w:rPr>
          <w:b w:val="0"/>
          <w:i w:val="0"/>
        </w:rPr>
        <w:t>.</w:t>
      </w:r>
    </w:p>
    <w:p>
      <w:r>
        <w:rPr>
          <w:b w:val="0"/>
          <w:i w:val="0"/>
        </w:rPr>
        <w:t>Ten of the 30 samples are samples of the three cohorts already analysed here — six EMC samples of GSE24369 and the four of the Brunner deposit, returned in their own right by the disease-name query — and two are the doxycycline-treated and untreated HEK293 samples of GSE11185.</w:t>
      </w:r>
    </w:p>
    <w:p>
      <w:r>
        <w:rPr>
          <w:b w:val="0"/>
          <w:i w:val="0"/>
        </w:rPr>
        <w:t>A single sample is not a cohort and a platform is not a deposit; grading them as though they might be would bury the records that need a decision under records that never could.</w:t>
      </w:r>
    </w:p>
    <w:p>
      <w:r>
        <w:rPr>
          <w:b/>
          <w:i w:val="0"/>
        </w:rPr>
        <w:t>Reproduction.</w:t>
      </w:r>
      <w:r>
        <w:rPr>
          <w:b w:val="0"/>
          <w:i w:val="0"/>
        </w:rPr>
        <w:t xml:space="preserve"> </w:t>
      </w:r>
      <w:r>
        <w:rPr>
          <w:rFonts w:ascii="Consolas" w:hAnsi="Consolas"/>
          <w:b w:val="0"/>
          <w:i w:val="0"/>
          <w:sz w:val="18"/>
        </w:rPr>
        <w:t>research/modalities/emc_cohort_search.py</w:t>
      </w:r>
      <w:r>
        <w:rPr>
          <w:b w:val="0"/>
          <w:i w:val="0"/>
        </w:rPr>
        <w:t xml:space="preserve"> → </w:t>
      </w:r>
      <w:r>
        <w:rPr>
          <w:rFonts w:ascii="Consolas" w:hAnsi="Consolas"/>
          <w:b w:val="0"/>
          <w:i w:val="0"/>
          <w:sz w:val="18"/>
        </w:rPr>
        <w:t>emc-cohort-search.json</w:t>
      </w:r>
      <w:r>
        <w:rPr>
          <w:b w:val="0"/>
          <w:i w:val="0"/>
        </w:rPr>
        <w:t xml:space="preserve">, with the raw query record in </w:t>
      </w:r>
      <w:r>
        <w:rPr>
          <w:rFonts w:ascii="Consolas" w:hAnsi="Consolas"/>
          <w:b w:val="0"/>
          <w:i w:val="0"/>
          <w:sz w:val="18"/>
        </w:rPr>
        <w:t>emc-cohort-search-inputs.json</w:t>
      </w:r>
      <w:r>
        <w:rPr>
          <w:b w:val="0"/>
          <w:i w:val="0"/>
        </w:rPr>
        <w:t xml:space="preserve">. The derive half runs offline from the cached queries and </w:t>
      </w:r>
      <w:r>
        <w:rPr>
          <w:rFonts w:ascii="Consolas" w:hAnsi="Consolas"/>
          <w:b w:val="0"/>
          <w:i w:val="0"/>
          <w:sz w:val="18"/>
        </w:rPr>
        <w:t>--check</w:t>
      </w:r>
      <w:r>
        <w:rPr>
          <w:b w:val="0"/>
          <w:i w:val="0"/>
        </w:rPr>
        <w:t xml:space="preserve"> re-derives the verdict and diffs it against the committed artifact.</w:t>
      </w:r>
    </w:p>
    <w:p>
      <w:pPr>
        <w:pStyle w:val="Heading1"/>
      </w:pPr>
      <w:r>
        <w:rPr>
          <w:b w:val="0"/>
          <w:i w:val="0"/>
        </w:rPr>
        <w:t>S8 · The Haller NR4A3 cistrome — how its genome build was determined</w:t>
      </w:r>
    </w:p>
    <w:p>
      <w:r>
        <w:rPr>
          <w:b w:val="0"/>
          <w:i w:val="0"/>
        </w:rPr>
        <w:t xml:space="preserve">Main-text §3.11 and Supplementary Table S14 report four deep NR4A3 peak sets from Haller </w:t>
      </w:r>
      <w:r>
        <w:rPr>
          <w:b w:val="0"/>
          <w:i/>
        </w:rPr>
        <w:t>et al.</w:t>
      </w:r>
      <w:r>
        <w:rPr>
          <w:b w:val="0"/>
          <w:i w:val="0"/>
        </w:rPr>
        <w:t xml:space="preserve"> (Zenodo 10.5281/zenodo.1483691). This section records how they became usable, because the step is not routine and a reader should be able to reject it.</w:t>
      </w:r>
    </w:p>
    <w:p>
      <w:r>
        <w:rPr>
          <w:b/>
          <w:i w:val="0"/>
        </w:rPr>
        <w:t>The problem.</w:t>
      </w:r>
      <w:r>
        <w:rPr>
          <w:b w:val="0"/>
          <w:i w:val="0"/>
        </w:rPr>
        <w:t xml:space="preserve"> A BED file carries no genome build.</w:t>
      </w:r>
    </w:p>
    <w:p>
      <w:r>
        <w:rPr>
          <w:b w:val="0"/>
          <w:i w:val="0"/>
        </w:rPr>
        <w:t xml:space="preserve">The deposit names none in its title, its description or its filenames, and the two candidate human builds differ by a large, position-dependent offset — on chr10, roughly 300 kb near </w:t>
      </w:r>
      <w:r>
        <w:rPr>
          <w:b w:val="0"/>
          <w:i/>
        </w:rPr>
        <w:t>RET</w:t>
      </w:r>
      <w:r>
        <w:rPr>
          <w:b w:val="0"/>
          <w:i w:val="0"/>
        </w:rPr>
        <w:t>.</w:t>
      </w:r>
    </w:p>
    <w:p>
      <w:r>
        <w:rPr>
          <w:b w:val="0"/>
          <w:i w:val="0"/>
        </w:rPr>
        <w:t>An intersection performed on the wrong build does not fail: it returns a plausible number for a different locus.</w:t>
      </w:r>
    </w:p>
    <w:p>
      <w:r>
        <w:rPr>
          <w:b w:val="0"/>
          <w:i w:val="0"/>
        </w:rPr>
        <w:t>This analysis therefore refuses to intersect any peak set whose build is unknown, and these four arrived in exactly that state.</w:t>
      </w:r>
    </w:p>
    <w:p>
      <w:r>
        <w:rPr>
          <w:b/>
          <w:i w:val="0"/>
        </w:rPr>
        <w:t>The test.</w:t>
      </w:r>
      <w:r>
        <w:rPr>
          <w:b w:val="0"/>
          <w:i w:val="0"/>
        </w:rPr>
        <w:t xml:space="preserve"> H3K4me3 marks active promoters.</w:t>
      </w:r>
    </w:p>
    <w:p>
      <w:r>
        <w:rPr>
          <w:b w:val="0"/>
          <w:i w:val="0"/>
        </w:rPr>
        <w:t>The deposit includes an H3K4me3 peak set for each of the four samples, so on the correct build those peaks must recover most of a promoter panel — and on the wrong build they must not.</w:t>
      </w:r>
    </w:p>
    <w:p>
      <w:r>
        <w:rPr>
          <w:b w:val="0"/>
          <w:i w:val="0"/>
        </w:rPr>
        <w:t xml:space="preserve">The recorded build-inference panel has 213 genes on hg19 and 211 on hg38, as listed in </w:t>
      </w:r>
      <w:r>
        <w:rPr>
          <w:rFonts w:ascii="Consolas" w:hAnsi="Consolas"/>
          <w:b w:val="0"/>
          <w:i w:val="0"/>
          <w:sz w:val="18"/>
        </w:rPr>
        <w:t>emc-ret-cistrome-inputs.json</w:t>
      </w:r>
      <w:r>
        <w:rPr>
          <w:b w:val="0"/>
          <w:i w:val="0"/>
        </w:rPr>
        <w:t xml:space="preserve"> under </w:t>
      </w:r>
      <w:r>
        <w:rPr>
          <w:rFonts w:ascii="Consolas" w:hAnsi="Consolas"/>
          <w:b w:val="0"/>
          <w:i w:val="0"/>
          <w:sz w:val="18"/>
        </w:rPr>
        <w:t>build_inference.ZENODO1483691.per_build</w:t>
      </w:r>
      <w:r>
        <w:rPr>
          <w:b w:val="0"/>
          <w:i w:val="0"/>
        </w:rPr>
        <w:t>. These are the denominators for Table S8's recovery percentages. They differ from the occupancy-calibration panels in Supplementary Table S14 (200 genes on hg19 and 198 on hg38) and from the separate 198-window motif background in §S6. The analyses use existing gene-list provenance, but their resolved panels and denominators must not be treated as identical.</w:t>
      </w:r>
    </w:p>
    <w:p>
      <w:pPr>
        <w:keepNext/>
        <w:spacing w:before="160"/>
      </w:pPr>
      <w:r>
        <w:rPr>
          <w:b/>
          <w:i w:val="0"/>
        </w:rPr>
        <w:t>Table S8. Promoter recovery of each H3K4me3 peak set, by candidate build.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465"/>
        <w:gridCol w:w="3465"/>
        <w:gridCol w:w="3722"/>
        <w:gridCol w:w="3465"/>
      </w:tblGrid>
      <w:tr>
        <w:trPr>
          <w:cantSplit/>
          <w:tblHeader/>
        </w:trPr>
        <w:tc>
          <w:tcPr>
            <w:tcW w:type="dxa" w:w="3465"/>
            <w:tcMar>
              <w:top w:w="80" w:type="dxa"/>
              <w:left w:w="80" w:type="dxa"/>
              <w:bottom w:w="80" w:type="dxa"/>
              <w:right w:w="80" w:type="dxa"/>
            </w:tcMar>
          </w:tcPr>
          <w:p>
            <w:pPr>
              <w:keepNext/>
              <w:spacing w:after="60" w:line="240" w:lineRule="auto"/>
            </w:pPr>
            <w:r>
              <w:rPr>
                <w:b/>
                <w:i w:val="0"/>
                <w:sz w:val="19"/>
              </w:rPr>
              <w:t>sample</w:t>
            </w:r>
          </w:p>
        </w:tc>
        <w:tc>
          <w:tcPr>
            <w:tcW w:type="dxa" w:w="3465"/>
            <w:tcMar>
              <w:top w:w="80" w:type="dxa"/>
              <w:left w:w="80" w:type="dxa"/>
              <w:bottom w:w="80" w:type="dxa"/>
              <w:right w:w="80" w:type="dxa"/>
            </w:tcMar>
          </w:tcPr>
          <w:p>
            <w:pPr>
              <w:keepNext/>
              <w:spacing w:after="60" w:line="240" w:lineRule="auto"/>
            </w:pPr>
            <w:r>
              <w:rPr>
                <w:b/>
                <w:i w:val="0"/>
                <w:sz w:val="19"/>
              </w:rPr>
              <w:t>peaks</w:t>
            </w:r>
          </w:p>
        </w:tc>
        <w:tc>
          <w:tcPr>
            <w:tcW w:type="dxa" w:w="3722"/>
            <w:tcMar>
              <w:top w:w="80" w:type="dxa"/>
              <w:left w:w="80" w:type="dxa"/>
              <w:bottom w:w="80" w:type="dxa"/>
              <w:right w:w="80" w:type="dxa"/>
            </w:tcMar>
          </w:tcPr>
          <w:p>
            <w:pPr>
              <w:keepNext/>
              <w:spacing w:after="60" w:line="240" w:lineRule="auto"/>
            </w:pPr>
            <w:r>
              <w:rPr>
                <w:b/>
                <w:i w:val="0"/>
                <w:sz w:val="19"/>
              </w:rPr>
              <w:t>panel promoters recovered, hg19</w:t>
            </w:r>
          </w:p>
        </w:tc>
        <w:tc>
          <w:tcPr>
            <w:tcW w:type="dxa" w:w="3465"/>
            <w:tcMar>
              <w:top w:w="80" w:type="dxa"/>
              <w:left w:w="80" w:type="dxa"/>
              <w:bottom w:w="80" w:type="dxa"/>
              <w:right w:w="80" w:type="dxa"/>
            </w:tcMar>
          </w:tcPr>
          <w:p>
            <w:pPr>
              <w:keepNext/>
              <w:spacing w:after="60" w:line="240" w:lineRule="auto"/>
            </w:pPr>
            <w:r>
              <w:rPr>
                <w:b/>
                <w:i w:val="0"/>
                <w:sz w:val="19"/>
              </w:rPr>
              <w:t>hg38</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AciCC-1</w:t>
            </w:r>
          </w:p>
        </w:tc>
        <w:tc>
          <w:tcPr>
            <w:tcW w:type="dxa" w:w="3465"/>
            <w:tcMar>
              <w:top w:w="80" w:type="dxa"/>
              <w:left w:w="80" w:type="dxa"/>
              <w:bottom w:w="80" w:type="dxa"/>
              <w:right w:w="80" w:type="dxa"/>
            </w:tcMar>
          </w:tcPr>
          <w:p>
            <w:pPr>
              <w:spacing w:after="60" w:line="240" w:lineRule="auto"/>
            </w:pPr>
            <w:r>
              <w:rPr>
                <w:b w:val="0"/>
                <w:i w:val="0"/>
                <w:sz w:val="19"/>
              </w:rPr>
              <w:t>30,660</w:t>
            </w:r>
          </w:p>
        </w:tc>
        <w:tc>
          <w:tcPr>
            <w:tcW w:type="dxa" w:w="3722"/>
            <w:tcMar>
              <w:top w:w="80" w:type="dxa"/>
              <w:left w:w="80" w:type="dxa"/>
              <w:bottom w:w="80" w:type="dxa"/>
              <w:right w:w="80" w:type="dxa"/>
            </w:tcMar>
          </w:tcPr>
          <w:p>
            <w:pPr>
              <w:spacing w:after="60" w:line="240" w:lineRule="auto"/>
            </w:pPr>
            <w:r>
              <w:rPr>
                <w:b/>
                <w:i w:val="0"/>
                <w:sz w:val="19"/>
              </w:rPr>
              <w:t>90.6%</w:t>
            </w:r>
          </w:p>
        </w:tc>
        <w:tc>
          <w:tcPr>
            <w:tcW w:type="dxa" w:w="3465"/>
            <w:tcMar>
              <w:top w:w="80" w:type="dxa"/>
              <w:left w:w="80" w:type="dxa"/>
              <w:bottom w:w="80" w:type="dxa"/>
              <w:right w:w="80" w:type="dxa"/>
            </w:tcMar>
          </w:tcPr>
          <w:p>
            <w:pPr>
              <w:spacing w:after="60" w:line="240" w:lineRule="auto"/>
            </w:pPr>
            <w:r>
              <w:rPr>
                <w:b w:val="0"/>
                <w:i w:val="0"/>
                <w:sz w:val="19"/>
              </w:rPr>
              <w:t>33.6%</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AciCC-2</w:t>
            </w:r>
          </w:p>
        </w:tc>
        <w:tc>
          <w:tcPr>
            <w:tcW w:type="dxa" w:w="3465"/>
            <w:tcMar>
              <w:top w:w="80" w:type="dxa"/>
              <w:left w:w="80" w:type="dxa"/>
              <w:bottom w:w="80" w:type="dxa"/>
              <w:right w:w="80" w:type="dxa"/>
            </w:tcMar>
          </w:tcPr>
          <w:p>
            <w:pPr>
              <w:spacing w:after="60" w:line="240" w:lineRule="auto"/>
            </w:pPr>
            <w:r>
              <w:rPr>
                <w:b w:val="0"/>
                <w:i w:val="0"/>
                <w:sz w:val="19"/>
              </w:rPr>
              <w:t>30,532</w:t>
            </w:r>
          </w:p>
        </w:tc>
        <w:tc>
          <w:tcPr>
            <w:tcW w:type="dxa" w:w="3722"/>
            <w:tcMar>
              <w:top w:w="80" w:type="dxa"/>
              <w:left w:w="80" w:type="dxa"/>
              <w:bottom w:w="80" w:type="dxa"/>
              <w:right w:w="80" w:type="dxa"/>
            </w:tcMar>
          </w:tcPr>
          <w:p>
            <w:pPr>
              <w:spacing w:after="60" w:line="240" w:lineRule="auto"/>
            </w:pPr>
            <w:r>
              <w:rPr>
                <w:b/>
                <w:i w:val="0"/>
                <w:sz w:val="19"/>
              </w:rPr>
              <w:t>92.5%</w:t>
            </w:r>
          </w:p>
        </w:tc>
        <w:tc>
          <w:tcPr>
            <w:tcW w:type="dxa" w:w="3465"/>
            <w:tcMar>
              <w:top w:w="80" w:type="dxa"/>
              <w:left w:w="80" w:type="dxa"/>
              <w:bottom w:w="80" w:type="dxa"/>
              <w:right w:w="80" w:type="dxa"/>
            </w:tcMar>
          </w:tcPr>
          <w:p>
            <w:pPr>
              <w:spacing w:after="60" w:line="240" w:lineRule="auto"/>
            </w:pPr>
            <w:r>
              <w:rPr>
                <w:b w:val="0"/>
                <w:i w:val="0"/>
                <w:sz w:val="19"/>
              </w:rPr>
              <w:t>32.2%</w:t>
            </w:r>
          </w:p>
        </w:tc>
      </w:tr>
      <w:tr>
        <w:trPr>
          <w:cantSplit/>
        </w:trPr>
        <w:tc>
          <w:tcPr>
            <w:tcW w:type="dxa" w:w="3465"/>
            <w:tcMar>
              <w:top w:w="80" w:type="dxa"/>
              <w:left w:w="80" w:type="dxa"/>
              <w:bottom w:w="80" w:type="dxa"/>
              <w:right w:w="80" w:type="dxa"/>
            </w:tcMar>
          </w:tcPr>
          <w:p>
            <w:pPr>
              <w:spacing w:after="60" w:line="240" w:lineRule="auto"/>
            </w:pPr>
            <w:r>
              <w:rPr>
                <w:b w:val="0"/>
                <w:i w:val="0"/>
                <w:sz w:val="19"/>
              </w:rPr>
              <w:t>AciCC-3</w:t>
            </w:r>
          </w:p>
        </w:tc>
        <w:tc>
          <w:tcPr>
            <w:tcW w:type="dxa" w:w="3465"/>
            <w:tcMar>
              <w:top w:w="80" w:type="dxa"/>
              <w:left w:w="80" w:type="dxa"/>
              <w:bottom w:w="80" w:type="dxa"/>
              <w:right w:w="80" w:type="dxa"/>
            </w:tcMar>
          </w:tcPr>
          <w:p>
            <w:pPr>
              <w:spacing w:after="60" w:line="240" w:lineRule="auto"/>
            </w:pPr>
            <w:r>
              <w:rPr>
                <w:b w:val="0"/>
                <w:i w:val="0"/>
                <w:sz w:val="19"/>
              </w:rPr>
              <w:t>29,494</w:t>
            </w:r>
          </w:p>
        </w:tc>
        <w:tc>
          <w:tcPr>
            <w:tcW w:type="dxa" w:w="3722"/>
            <w:tcMar>
              <w:top w:w="80" w:type="dxa"/>
              <w:left w:w="80" w:type="dxa"/>
              <w:bottom w:w="80" w:type="dxa"/>
              <w:right w:w="80" w:type="dxa"/>
            </w:tcMar>
          </w:tcPr>
          <w:p>
            <w:pPr>
              <w:spacing w:after="60" w:line="240" w:lineRule="auto"/>
            </w:pPr>
            <w:r>
              <w:rPr>
                <w:b/>
                <w:i w:val="0"/>
                <w:sz w:val="19"/>
              </w:rPr>
              <w:t>92.5%</w:t>
            </w:r>
          </w:p>
        </w:tc>
        <w:tc>
          <w:tcPr>
            <w:tcW w:type="dxa" w:w="3465"/>
            <w:tcMar>
              <w:top w:w="80" w:type="dxa"/>
              <w:left w:w="80" w:type="dxa"/>
              <w:bottom w:w="80" w:type="dxa"/>
              <w:right w:w="80" w:type="dxa"/>
            </w:tcMar>
          </w:tcPr>
          <w:p>
            <w:pPr>
              <w:spacing w:after="60" w:line="240" w:lineRule="auto"/>
            </w:pPr>
            <w:r>
              <w:rPr>
                <w:b w:val="0"/>
                <w:i w:val="0"/>
                <w:sz w:val="19"/>
              </w:rPr>
              <w:t>33.2%</w:t>
            </w:r>
          </w:p>
        </w:tc>
      </w:tr>
      <w:tr>
        <w:trPr>
          <w:cantSplit/>
        </w:trPr>
        <w:tc>
          <w:tcPr>
            <w:tcW w:type="dxa" w:w="3465"/>
            <w:tcMar>
              <w:top w:w="80" w:type="dxa"/>
              <w:left w:w="80" w:type="dxa"/>
              <w:bottom w:w="80" w:type="dxa"/>
              <w:right w:w="80" w:type="dxa"/>
            </w:tcMar>
          </w:tcPr>
          <w:p>
            <w:pPr>
              <w:spacing w:after="60" w:line="240" w:lineRule="auto"/>
            </w:pPr>
            <w:r>
              <w:rPr>
                <w:b w:val="0"/>
                <w:i w:val="0"/>
                <w:sz w:val="19"/>
              </w:rPr>
              <w:t>Normal parotid gland</w:t>
            </w:r>
          </w:p>
        </w:tc>
        <w:tc>
          <w:tcPr>
            <w:tcW w:type="dxa" w:w="3465"/>
            <w:tcMar>
              <w:top w:w="80" w:type="dxa"/>
              <w:left w:w="80" w:type="dxa"/>
              <w:bottom w:w="80" w:type="dxa"/>
              <w:right w:w="80" w:type="dxa"/>
            </w:tcMar>
          </w:tcPr>
          <w:p>
            <w:pPr>
              <w:spacing w:after="60" w:line="240" w:lineRule="auto"/>
            </w:pPr>
            <w:r>
              <w:rPr>
                <w:b w:val="0"/>
                <w:i w:val="0"/>
                <w:sz w:val="19"/>
              </w:rPr>
              <w:t>28,407</w:t>
            </w:r>
          </w:p>
        </w:tc>
        <w:tc>
          <w:tcPr>
            <w:tcW w:type="dxa" w:w="3722"/>
            <w:tcMar>
              <w:top w:w="80" w:type="dxa"/>
              <w:left w:w="80" w:type="dxa"/>
              <w:bottom w:w="80" w:type="dxa"/>
              <w:right w:w="80" w:type="dxa"/>
            </w:tcMar>
          </w:tcPr>
          <w:p>
            <w:pPr>
              <w:spacing w:after="60" w:line="240" w:lineRule="auto"/>
            </w:pPr>
            <w:r>
              <w:rPr>
                <w:b/>
                <w:i w:val="0"/>
                <w:sz w:val="19"/>
              </w:rPr>
              <w:t>93.9%</w:t>
            </w:r>
          </w:p>
        </w:tc>
        <w:tc>
          <w:tcPr>
            <w:tcW w:type="dxa" w:w="3465"/>
            <w:tcMar>
              <w:top w:w="80" w:type="dxa"/>
              <w:left w:w="80" w:type="dxa"/>
              <w:bottom w:w="80" w:type="dxa"/>
              <w:right w:w="80" w:type="dxa"/>
            </w:tcMar>
          </w:tcPr>
          <w:p>
            <w:pPr>
              <w:spacing w:after="60" w:line="240" w:lineRule="auto"/>
            </w:pPr>
            <w:r>
              <w:rPr>
                <w:b w:val="0"/>
                <w:i w:val="0"/>
                <w:sz w:val="19"/>
              </w:rPr>
              <w:t>32.7%</w:t>
            </w:r>
          </w:p>
        </w:tc>
      </w:tr>
    </w:tbl>
    <w:p>
      <w:r>
        <w:rPr>
          <w:b w:val="0"/>
          <w:i w:val="0"/>
        </w:rPr>
        <w:t xml:space="preserve">The deposit is read as </w:t>
      </w:r>
      <w:r>
        <w:rPr>
          <w:b/>
          <w:i w:val="0"/>
        </w:rPr>
        <w:t>hg19</w:t>
      </w:r>
      <w:r>
        <w:rPr>
          <w:b w:val="0"/>
          <w:i w:val="0"/>
        </w:rPr>
        <w:t>, on a worst-case recovery of 0.906 against 0.322, a ratio of 2.81.</w:t>
      </w:r>
    </w:p>
    <w:p>
      <w:r>
        <w:rPr>
          <w:b/>
          <w:i w:val="0"/>
        </w:rPr>
        <w:t>Why two thresholds and not one.</w:t>
      </w:r>
      <w:r>
        <w:rPr>
          <w:b w:val="0"/>
          <w:i w:val="0"/>
        </w:rPr>
        <w:t xml:space="preserve"> A build is assigned only if the worst sample clears an absolute floor (0.80) </w:t>
      </w:r>
      <w:r>
        <w:rPr>
          <w:b w:val="0"/>
          <w:i/>
        </w:rPr>
        <w:t>and</w:t>
      </w:r>
      <w:r>
        <w:rPr>
          <w:b w:val="0"/>
          <w:i w:val="0"/>
        </w:rPr>
        <w:t xml:space="preserve"> beats the runner-up by a ratio (2.0).</w:t>
      </w:r>
    </w:p>
    <w:p>
      <w:r>
        <w:rPr>
          <w:b w:val="0"/>
          <w:i w:val="0"/>
        </w:rPr>
        <w:t xml:space="preserve">The ratio alone would accept two equally wrong builds; the absolute alone would accept a build on which peaks happen to be broadly distributed. </w:t>
      </w:r>
      <w:r>
        <w:rPr>
          <w:b/>
          <w:i w:val="0"/>
        </w:rPr>
        <w:t>The 33% on hg38 is not noise</w:t>
      </w:r>
      <w:r>
        <w:rPr>
          <w:b w:val="0"/>
          <w:i w:val="0"/>
        </w:rPr>
        <w:t xml:space="preserve"> — the two builds are identical over much of the genome, so a substantial wrong-build recovery is expected, and a test that treated "it found some" as agreement would pass on either.</w:t>
      </w:r>
    </w:p>
    <w:p>
      <w:r>
        <w:rPr>
          <w:b/>
          <w:i w:val="0"/>
        </w:rPr>
        <w:t>What the reader can check, and what would overturn it.</w:t>
      </w:r>
      <w:r>
        <w:rPr>
          <w:b w:val="0"/>
          <w:i w:val="0"/>
        </w:rPr>
        <w:t xml:space="preserve"> The four biological samples agree on the build; an error confined to one peak file would not account for all four readings. Agreement across samples cannot exclude a shared annotation error. We used the mark with the strongest prior expectation of promoter localisation. We did not use a transcription factor, because a factor that genuinely avoided promoters could mimic the wrong build. Build inference and occupancy calibration both rely on gene annotations and the assigned coordinates, despite using different resolved panels. A shared error could therefore affect both steps; identical panel membership or denominators are not assumed.</w:t>
      </w:r>
    </w:p>
    <w:p>
      <w:r>
        <w:rPr>
          <w:b/>
          <w:i w:val="0"/>
        </w:rPr>
        <w:t>If the deposit is in fact hg38, every Supplementary Table S14 row from it is void</w:t>
      </w:r>
      <w:r>
        <w:rPr>
          <w:b w:val="0"/>
          <w:i w:val="0"/>
        </w:rPr>
        <w:t xml:space="preserve"> — the class-A counts would refer to other loci — while the ChIP-Atlas and ReMap rows, whose builds come from their catalogues, are unaffected.</w:t>
      </w:r>
    </w:p>
    <w:p>
      <w:r>
        <w:rPr>
          <w:b w:val="0"/>
          <w:i w:val="0"/>
        </w:rPr>
        <w:t>Nothing else in the manuscript depends on it.</w:t>
      </w:r>
    </w:p>
    <w:p>
      <w:r>
        <w:rPr>
          <w:b/>
          <w:i w:val="0"/>
        </w:rPr>
        <w:t>Reproduction.</w:t>
      </w:r>
      <w:r>
        <w:rPr>
          <w:b w:val="0"/>
          <w:i w:val="0"/>
        </w:rPr>
        <w:t xml:space="preserve"> </w:t>
      </w:r>
      <w:r>
        <w:rPr>
          <w:rFonts w:ascii="Consolas" w:hAnsi="Consolas"/>
          <w:b w:val="0"/>
          <w:i w:val="0"/>
          <w:sz w:val="18"/>
        </w:rPr>
        <w:t>python3 research/modalities/emc_ret_cistrome.py --infer-builds</w:t>
      </w:r>
      <w:r>
        <w:rPr>
          <w:b w:val="0"/>
          <w:i w:val="0"/>
        </w:rPr>
        <w:t xml:space="preserve">, offline, from the committed peak cache; the full per-build table is written to </w:t>
      </w:r>
      <w:r>
        <w:rPr>
          <w:rFonts w:ascii="Consolas" w:hAnsi="Consolas"/>
          <w:b w:val="0"/>
          <w:i w:val="0"/>
          <w:sz w:val="18"/>
        </w:rPr>
        <w:t>emc-ret-cistrome-inputs.json</w:t>
      </w:r>
      <w:r>
        <w:rPr>
          <w:b w:val="0"/>
          <w:i w:val="0"/>
        </w:rPr>
        <w:t xml:space="preserve"> under </w:t>
      </w:r>
      <w:r>
        <w:rPr>
          <w:rFonts w:ascii="Consolas" w:hAnsi="Consolas"/>
          <w:b w:val="0"/>
          <w:i w:val="0"/>
          <w:sz w:val="18"/>
        </w:rPr>
        <w:t>build_inference</w:t>
      </w:r>
      <w:r>
        <w:rPr>
          <w:b w:val="0"/>
          <w:i w:val="0"/>
        </w:rPr>
        <w:t>.</w:t>
      </w:r>
    </w:p>
    <w:sectPr w:rsidR="00FC693F" w:rsidRPr="0006063C" w:rsidSect="00034616">
      <w:footerReference w:type="default" r:id="rId9"/>
      <w:pgSz w:w="16838" w:h="11906"/>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2026-09-18T16:14:17Z</dcterms:modified>
  <cp:category/>
</cp:coreProperties>
</file>