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it, sparing its parents; none is reported for any </w:t>
      </w:r>
      <w:r>
        <w:rPr>
          <w:rStyle w:val="Emphasis"/>
        </w:rPr>
        <w:t>NR4A3</w:t>
      </w:r>
      <w:r>
        <w:rPr/>
        <w:t xml:space="preserve"> fusion in the literature retrieved. This work is computational, executing an industry off-target framework's in-silico step; every sequence named is a research reagent not for administration. It names what a laboratory needs: two reagents at the most-reported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 pre-registrable selectivity threshold. Both come from a panel of 190 junction-spanning 16-mers tiled 5-6-5 across 38 in-frame junctions: 87 let a mature wild-type parent pair their whole catalytic gap over ten or more contiguous base pairs, and for 61 the longest is wild-type </w:t>
      </w:r>
      <w:r>
        <w:rPr>
          <w:rStyle w:val="Emphasis"/>
        </w:rPr>
        <w:t>NR4A3</w:t>
      </w:r>
      <w:r>
        <w:rPr/>
        <w:t xml:space="preserve">.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The design procedure is released.</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w:t>
      </w:r>
      <w:r>
        <w:rPr>
          <w:rStyle w:val="Emphasis"/>
        </w:rPr>
        <w:t>FUS</w:t>
      </w:r>
      <w:r>
        <w:rPr/>
        <w:t xml:space="preserve"> is a further reported partner, in two of five variant cases in a recent series[3], and supplies eight of the junctions modelled here. The disease responds poorly to conventional cytotoxic chemotherapy[4], though responses do occur[5], and a tyrosine-kinase inhibitor trialled in it gave disease control more often than response — a reading composed from the review's response categories[4] rather than from a figure stated in the trial report[6].</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have a thirty-five-year lineage, reported against at least six fusion oncogenes: two as antisense oligonucleotides, the rest as RNA-interference agents, one of those from a lentiviral vector rather than an administered oligonucleotide[7-12].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mostly outside the mismatch budget of a conventional off-target search, though not for every design. That parent liability is the one this work screens for directly. RNase-H1 does not require the whole duplex, only that the gap be paired. That premise is adopted here rather than established. Its length requirement is reported as a DNA gap of at least six nucleotides, with seven to ten the working range[13];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That direction is adopted here rather than retrieved: off-target effects are taken to be seen more often where an oligonucleotide's mismatches fall in its wings than in its central gap. An industry working group's 2025 off-target recommendations[14] set five steps; only the first is even partly in silico, pairing complementarity prediction with transcriptomics.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archived deposit.</w:t>
      </w:r>
    </w:p>
    <w:p>
      <w:pPr>
        <w:pStyle w:val="BodyText"/>
        <w:bidi w:val="0"/>
        <w:rPr/>
      </w:pPr>
      <w:r>
        <w:rPr/>
        <w:t xml:space="preserve">Canonical transcripts for the five partner genes and for </w:t>
      </w:r>
      <w:r>
        <w:rPr>
          <w:rStyle w:val="Emphasis"/>
        </w:rPr>
        <w:t>NR4A3</w:t>
      </w:r>
      <w:r>
        <w:rPr/>
        <w:t xml:space="preserve"> were obtained from Ensembl[15]. Junction-spanning 16-mer gapmers were tiled in a 5-6-5 β-D-oxy-locked-nucleic-acid/DNA/β-D-oxy-locked-nucleic-acid geometry[13],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The first aligns against human RefSeq RNA, classifying each near-match by whether the catalytic gap is paired. The second is an exhaustive transcript scan, complete for substitutions within a one-mismatch budget. The third reads the parents' unspliced sequence. The fourth records the longest contiguous duplex any of six wild-type parent transcripts forms through the catalytic gap. The fifth covers unambiguous GRCh38, mitochondrial sequence included. They cover mature transcript, unspliced precursor, exon-exon junction, non-coding and mitochondrial sequence — a search scope adopted here. A near-match is a transcript window pairing a design at 14 or more of its 16 positions. Each alignment was re-scored on the nearest-neighbour stability of its longest contiguous paired run, the energy-based second stage adopted here, and only separations are reported. A design is liable where a wild-type parent pairs its whole catalytic gap over a contiguous run of ten base pairs or more, ten being adopted rather than measured. Ten null ensembles were built and screened identically: four shuffles of each design, two drawn base by base from uniform or composition-matched frequencies, and four chimeras of two real parent transcripts, two of them meeting at real exon termini. Melting temperatures are nearest-neighbour values for an unmodified DNA:RNA hybrid at 250 nM strand[16].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below.</w:t>
      </w:r>
    </w:p>
    <w:p>
      <w:pPr>
        <w:pStyle w:val="BodyText"/>
        <w:bidi w:val="0"/>
        <w:rPr/>
      </w:pPr>
      <w:r>
        <w:rPr/>
        <w:t xml:space="preserve">Both reagents sit close to that ten-base-pair criterion.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The cut therefore decides how they read. At eight, both fall inside the class this work marks as not to be ordered; at nine, the </w:t>
      </w:r>
      <w:r>
        <w:rPr>
          <w:rStyle w:val="Emphasis"/>
        </w:rPr>
        <w:t>TAF15</w:t>
      </w:r>
      <w:r>
        <w:rPr/>
        <w:t xml:space="preserve"> reagent alone does;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only before the hits are counted by gene: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 but six gene loci against five. Most of the 123 are predicted transcript models rather than curated records.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The genome-wide screen does not separate them: 156 hybridisable gap-paired sites against 135. It scans genomic sequence rather than transcripts, most of it never transcribed, so that contrast is not one the genomic search supports. All three loads are predictions from sequence search rather than measured activity.</w:t>
      </w:r>
    </w:p>
    <w:p>
      <w:pPr>
        <w:pStyle w:val="BodyText"/>
        <w:bidi w:val="0"/>
        <w:rPr/>
      </w:pPr>
      <w:r>
        <w:rPr/>
        <w:t>Both reagents are phosphorothioate throughout, with wings of five contiguous β-D-oxy-locked residues, a high locked content against the two to four per wing taken here as usual, so these are not conventional locked-nucleic-acid reagents and their matched-duplex melting temperatures are correspondingly high. That cuts against the screens: a high-affinity chemistry is taken here to retain knockdown at more extensively mismatched sites than a conventional design does,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series[17], the two junctions account for 68.4% of molecularly confirmed cases in a 58-case cohort[18].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takes the first two.</w:t>
      </w:r>
    </w:p>
    <w:p>
      <w:pPr>
        <w:pStyle w:val="Heading3"/>
        <w:bidi w:val="0"/>
        <w:jc w:val="left"/>
        <w:rPr/>
      </w:pPr>
      <w:r>
        <w:rPr/>
        <w:t>Selection from a panel of 190 designs</w:t>
      </w:r>
    </w:p>
    <w:p>
      <w:pPr>
        <w:pStyle w:val="BodyText"/>
        <w:bidi w:val="0"/>
        <w:rPr/>
      </w:pPr>
      <w:r>
        <w:rPr/>
        <w:t>The parent liability the Introduction describes is mostly but not wholly invisible to the instrument a designer would ordinarily use: seven of the 87 liable designs reach their parent at the 14-of-16 identity these screens run at, and are excluded by name rather than by that threshold. That is the case for screening it directly.</w:t>
      </w:r>
    </w:p>
    <w:p>
      <w:pPr>
        <w:pStyle w:val="BodyText"/>
        <w:bidi w:val="0"/>
        <w:rPr/>
      </w:pPr>
      <w:r>
        <w:rPr/>
        <w:t>Two bounds apply to any count of designs called CLEAN by the alignment screen, and to those only — the parent, precursor and genome-wide screens below run over all 190 with no failures and no censoring. First, seven of the 190 alignment screens never returned, and that screen censors the rest, leaving 47 of 183 assessable for cleanliness — so a count of clean designs is a floor over that subset, not a total over the panel. Second, most designs clean at the default search ceiling are not clean at a deeper one.</w:t>
      </w:r>
    </w:p>
    <w:p>
      <w:pPr>
        <w:pStyle w:val="BodyText"/>
        <w:bidi w:val="0"/>
        <w:rPr/>
      </w:pPr>
      <w:r>
        <w:rPr/>
        <w:t xml:space="preserve">Both reagents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for 61 of the 87 the longest is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 These are upper bounds on that separation, since scoring the longest paired run ignores pairing either side of a mismatch.</w:t>
      </w:r>
    </w:p>
    <w:p>
      <w:pPr>
        <w:pStyle w:val="BodyText"/>
        <w:bidi w:val="0"/>
        <w:rPr/>
      </w:pPr>
      <w:r>
        <w:rPr/>
        <w:t>Lengthening the catalytic gap does not remove this liability, because every base inside the gap comes from the donor or the acceptor exon. Across three geometries the liable count holds at 87, 88 and 87 while the panel grows from 190 designs to 266 and 342, so the rate falls from 45.8% to 33.1% and 25.4%: a longer gap buys margin per design without removing the liability. At 5-10-5 pairing the whole gap already demands ten base pairs, the top of the seven-to-ten the enzyme is reported to prefer, so a shorter run that could still license cleavage goes uncounted and that last figure is a floor; the deposit gives the series.</w:t>
      </w:r>
    </w:p>
    <w:p>
      <w:pPr>
        <w:pStyle w:val="BodyText"/>
        <w:bidi w:val="0"/>
        <w:rPr/>
      </w:pPr>
      <w:r>
        <w:rPr/>
        <w:t xml:space="preserve">Three designs clear every screen at the ten-base-pair criterion — two pairing no wild-type parent through the gap at any length, the third at eight base pairs against wild-type </w:t>
      </w:r>
      <w:r>
        <w:rPr>
          <w:rStyle w:val="Emphasis"/>
        </w:rPr>
        <w:t>NR4A3</w:t>
      </w:r>
      <w:r>
        <w:rPr/>
        <w:t xml:space="preserve">, below the criterion rather than absent. None is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w:t>
      </w:r>
    </w:p>
    <w:p>
      <w:pPr>
        <w:pStyle w:val="BodyText"/>
        <w:bidi w:val="0"/>
        <w:rPr/>
      </w:pPr>
      <w:r>
        <w:rPr/>
        <w:t>The comparison against null models does not resolve an excess specific to this disease. Chimeras built at real exon termini of the same two transcripts, at junctions almost never reported in a patient, meet the parent screen at 40.6% against 45.8% for the panel. The adopted cut does not escape that comparison: at ten the strongest null's 40.6% falls inside the panel's own 95% interval on 45.8%, as at every cut from seven to thirteen but eleven.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no annotated </w:t>
      </w:r>
      <w:r>
        <w:rPr>
          <w:rStyle w:val="Emphasis"/>
        </w:rPr>
        <w:t>NR4A3</w:t>
      </w:r>
      <w:r>
        <w:rPr/>
        <w:t xml:space="preserve"> transcript is exon 2 the first coding exon,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series[19], and a </w:t>
      </w:r>
      <w:r>
        <w:rPr>
          <w:rStyle w:val="Emphasis"/>
        </w:rPr>
        <w:t>PGR</w:t>
      </w:r>
      <w:r>
        <w:rPr/>
        <w:t>::</w:t>
      </w:r>
      <w:r>
        <w:rPr>
          <w:rStyle w:val="Emphasis"/>
        </w:rPr>
        <w:t>NR4A3</w:t>
      </w:r>
      <w:r>
        <w:rPr/>
        <w:t xml:space="preserve"> case joins exon 2 to the </w:t>
      </w:r>
      <w:r>
        <w:rPr>
          <w:rStyle w:val="Emphasis"/>
        </w:rPr>
        <w:t>NR4A3</w:t>
      </w:r>
      <w:r>
        <w:rPr/>
        <w:t xml:space="preserve"> 5′ untranslated region[20]. Beyond exon 3 the position is the reverse: across the exon-resolved </w:t>
      </w:r>
      <w:r>
        <w:rPr>
          <w:rStyle w:val="Emphasis"/>
        </w:rPr>
        <w:t>NR4A3</w:t>
      </w:r>
      <w:r>
        <w:rPr/>
        <w:t xml:space="preserve"> junctions retrieved here every acceptor is exon 2, exon 3, or a cryptic exon in intron 2[21], none 3′ of exon 3, so nothing is designed there because no patient is reported there.</w:t>
      </w:r>
    </w:p>
    <w:p>
      <w:pPr>
        <w:pStyle w:val="BodyText"/>
        <w:bidi w:val="0"/>
        <w:rPr/>
      </w:pPr>
      <w:r>
        <w:rPr/>
        <w:t>Three are engineered constructs from a published functional study[21], whose exon spans that paper states verbatim; two of them, E-N and T-N*, carry exactly the junctions the reagents above span, so both named reagents have a stated test article. Rebuilding them is the faster route, but a heterologously over-expressed complementary DNA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tumours[22], USZ20-EMC1 (RRID:CVCL_C6MX) and USZ22-EMC2 (RRID:CVCL_C6MY),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factor[1,21].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The released builder emits an exon-2 acceptor in two cases only: a seam a published report places a patient at, and one the user supplies from their own sequencing, checked against the builder's transcript models.</w:t>
      </w:r>
    </w:p>
    <w:p>
      <w:pPr>
        <w:pStyle w:val="BodyText"/>
        <w:bidi w:val="0"/>
        <w:rPr/>
      </w:pPr>
      <w:r>
        <w:rPr/>
        <w:t xml:space="preserve">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of the two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test article's breakpoint must be established at nucleotide resolution by RNA sequencing before any oligonucleotide is ordered: most designs here are specific to the exon pair they were tiled at, and nine of the panel's 176 distinct sequences match at more than one. Routine diagnosis does not supply the seam, since break-apart </w:t>
      </w:r>
      <w:r>
        <w:rPr>
          <w:rStyle w:val="Emphasis"/>
        </w:rPr>
        <w:t>NR4A3</w:t>
      </w:r>
      <w:r>
        <w:rPr/>
        <w:t xml:space="preserve"> fluorescence in situ hybridisation detects a rearrangement irrespective of partner[4].</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for 3.9% the longest is wild-type </w:t>
      </w:r>
      <w:r>
        <w:rPr>
          <w:rStyle w:val="Emphasis"/>
        </w:rPr>
        <w:t>NR4A3</w:t>
      </w:r>
      <w:r>
        <w:rPr/>
        <w:t>.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tumour[23]. It is specified here for these reagents, with the two screened controls above; a knockdown assay alone separates none of the failure modes they exist to separate.</w:t>
      </w:r>
    </w:p>
    <w:p>
      <w:pPr>
        <w:pStyle w:val="BodyText"/>
        <w:bidi w:val="0"/>
        <w:rPr/>
      </w:pPr>
      <w:r>
        <w:rPr/>
        <w:t xml:space="preserve">Selectivity is the ratio of two half-maximal knockdown concentrations: wild-type </w:t>
      </w:r>
      <w:r>
        <w:rPr>
          <w:rStyle w:val="Emphasis"/>
        </w:rPr>
        <w:t>NR4A3</w:t>
      </w:r>
      <w:r>
        <w:rPr/>
        <w:t xml:space="preserve"> over the fusion, from a matched dose-response in the same wells. Its form and the cut of 5.0 are adopted here as conventions, not from the framework's third step[14]. At an assumed replicate standard deviation of 0.35 on the natural-log scale — also adopted for pre-registration, not measured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and voidness is a property of the realised variance rather than of the design, so the gate applies to the upper confidence bound on a pilot's standard deviation: at or above the void figure for the count proposed, the decision is more replicates or no test, never three. The threshold is defined on the acceptor parent alone, so a reagent can clear it while pairing another transcript through its whole gap. For both reagents named here that transcript is wild-type </w:t>
      </w:r>
      <w:r>
        <w:rPr>
          <w:rStyle w:val="Emphasis"/>
        </w:rPr>
        <w:t>TFG</w:t>
      </w:r>
      <w:r>
        <w:rPr/>
        <w:t>, at eight and nine base pairs — a gene neither fusion involves, and one to read alongside the acceptor.</w:t>
      </w:r>
    </w:p>
    <w:p>
      <w:pPr>
        <w:pStyle w:val="Heading3"/>
        <w:bidi w:val="0"/>
        <w:jc w:val="left"/>
        <w:rPr/>
      </w:pPr>
      <w:r>
        <w:rPr/>
        <w:t>Interpretation and limits</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w:t>
      </w:r>
    </w:p>
    <w:p>
      <w:pPr>
        <w:pStyle w:val="BodyText"/>
        <w:bidi w:val="0"/>
        <w:rPr/>
      </w:pPr>
      <w:r>
        <w:rPr/>
        <w:t xml:space="preserve">The constraint is discrimination between the fusion and its parents, and it is not resolved here. The wild-type liability that follows from a junction design's construction is its own parent, in the mature transcript or across a splice junction in precursor RNA. It is not the strongest liability these screens return: no design's own parent pairs more than 13 base pairs in either compartment, against the whole 16 for the eight fully paired off-target duplexes above, five of them curated records. That is a bound, not a ranking — the parent arm reads six transcripts and the energy screen excludes parent records by name — and the two parent compartments are searched before any molecule exists. The mature-transcript screen condemns on a ten-base-pair duplex through the gap; the precursor arm condemns on a hit at up to two mismatches with the gap fully paired. Neither restates the other, and their counts may not be added. A third compartment is searched only in the archived deposit: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while clearing that reagent — the register hazard noted with the reagents, arriving from a compartment the panel's selection never has to consider.</w:t>
      </w:r>
    </w:p>
    <w:p>
      <w:pPr>
        <w:pStyle w:val="BodyText"/>
        <w:bidi w:val="0"/>
        <w:rPr/>
      </w:pPr>
      <w:r>
        <w:rPr/>
        <w:t xml:space="preserve">The four junction-specificity reports cited here[9-11,24] were all made on molecules already synthesised; no survey of design pipelines was performed, so nothing here is a priority claim about when such a screen was first applied. Whether sparing wild-type </w:t>
      </w:r>
      <w:r>
        <w:rPr>
          <w:rStyle w:val="Emphasis"/>
        </w:rPr>
        <w:t>NR4A3</w:t>
      </w:r>
      <w:r>
        <w:rPr/>
        <w:t xml:space="preserve"> is worth a specificity cost is unsettled — reported paralogue redundancy and dosage effects point in opposite directions — and the archived deposit does not resolve it.</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are long established, and what is new here is the indication.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 The author holds no patent, patent application, equity or consultancy relating to any sequence or method described here.</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Europe PMC or Crossref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per-design tables, every screen's parameters and the complete bounds on each claim are deposited under </w:t>
      </w:r>
      <w:hyperlink r:id="rId3">
        <w:r>
          <w:rPr>
            <w:rStyle w:val="Hyperlink"/>
          </w:rPr>
          <w:t>doi:10.5281/zenodo.22229096</w:t>
        </w:r>
      </w:hyperlink>
      <w:r>
        <w:rPr/>
        <w:t>, the citable record for them.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Chen X, X He, R Peng, M Chen and H Zhang. (2026). A series of extraskeletal myxoid chondrosarcomas with rare morphological and molecular variations. Histopathology 89:181–188. </w:t>
      </w:r>
      <w:hyperlink r:id="rId6">
        <w:r>
          <w:rPr>
            <w:rStyle w:val="Hyperlink"/>
          </w:rPr>
          <w:t>doi:10.1111/his.70131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7">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8">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9">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10">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1">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2">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3">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4">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15">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16">
        <w:r>
          <w:rPr>
            <w:rStyle w:val="Hyperlink"/>
          </w:rPr>
          <w:t>doi:10.1089/nat.2024.0072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17">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18">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9">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20">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1">
        <w:r>
          <w:rPr>
            <w:rStyle w:val="Hyperlink"/>
          </w:rPr>
          <w:t>doi:10.3390/ijms19071855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22">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23">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24">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25">
        <w:r>
          <w:rPr>
            <w:rStyle w:val="Hyperlink"/>
          </w:rPr>
          <w:t>doi:10.3390/cancers15123127</w:t>
        </w:r>
      </w:hyperlink>
      <w:r>
        <w:rPr/>
        <w:t xml:space="preserve"> </w:t>
      </w:r>
    </w:p>
    <w:p>
      <w:pPr>
        <w:pStyle w:val="BodyText"/>
        <w:numPr>
          <w:ilvl w:val="0"/>
          <w:numId w:val="1"/>
        </w:numPr>
        <w:tabs>
          <w:tab w:val="clear" w:pos="709"/>
          <w:tab w:val="left" w:pos="709" w:leader="none"/>
        </w:tabs>
        <w:bidi w:val="0"/>
        <w:ind w:hanging="283" w:left="709"/>
        <w:rPr/>
      </w:pPr>
      <w:r>
        <w:rPr/>
        <w:t xml:space="preserve">Lee MS, S An, JY Song, M Sung, K Jung, ES Chang, J Choi, DY Oh, YK Jeon, et al. (2023). Cancer-Specific Sequences in the Diagnosis and Treatment of NUT Carcinoma. Cancer Res Treat 55:452–467. </w:t>
      </w:r>
      <w:hyperlink r:id="rId26">
        <w:r>
          <w:rPr>
            <w:rStyle w:val="Hyperlink"/>
          </w:rPr>
          <w:t>doi:10.4143/crt.2022.910</w:t>
        </w:r>
      </w:hyperlink>
      <w:r>
        <w:rPr/>
        <w:t xml:space="preserve"> </w:t>
      </w:r>
    </w:p>
    <w:p>
      <w:pPr>
        <w:pStyle w:val="Heading2"/>
        <w:bidi w:val="0"/>
        <w:jc w:val="left"/>
        <w:rPr/>
      </w:pPr>
      <w:r>
        <w:rPr/>
        <w:t>Tables</w:t>
      </w:r>
    </w:p>
    <w:p>
      <w:pPr>
        <w:pStyle w:val="BodyText"/>
        <w:bidi w:val="0"/>
        <w:rPr/>
      </w:pPr>
      <w:r>
        <w:rPr>
          <w:rStyle w:val="Emphasis"/>
        </w:rPr>
        <w:t xml:space="preserve">Every value in the tables below is read from a committed artifact and none is typed by hand: the reagents from </w:t>
      </w:r>
      <w:r>
        <w:rPr>
          <w:rStyle w:val="SourceText"/>
        </w:rPr>
        <w:t>fusion-junction-aso-sequences.csv</w:t>
      </w:r>
      <w:r>
        <w:rPr>
          <w:rStyle w:val="Emphasis"/>
        </w:rPr>
        <w:t xml:space="preserve">, the canonical machine-readable record, and the controls from </w:t>
      </w:r>
      <w:r>
        <w:rPr>
          <w:rStyle w:val="SourceTextbrk"/>
        </w:rPr>
        <w:t>aso-control-oligos.json</w:t>
      </w:r>
      <w:r>
        <w:rPr>
          <w:rStyle w:val="Emphasis"/>
        </w:rPr>
        <w:t>, either directly or composed from their fields. The captions carry literature facts, each with its source named there.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w:t>
      </w:r>
      <w:r>
        <w:rPr/>
        <w:t xml:space="preserve"> The parent-duplex column is the longest contiguous duplex a mature wild-type parent forms through the catalytic gap; neither reagent reaches the ten-base-pair criterion, so the length is printed rather than a pass mark. The test articles are the engineered constructs of Brenca et al. (</w:t>
      </w:r>
      <w:hyperlink r:id="rId27">
        <w:r>
          <w:rPr>
            <w:rStyle w:val="Hyperlink"/>
          </w:rPr>
          <w:t>PMID: 31020999</w:t>
        </w:r>
      </w:hyperlink>
      <w:r>
        <w:rPr/>
        <w:t xml:space="preserve">) — E-N for the </w:t>
      </w:r>
      <w:r>
        <w:rPr>
          <w:rStyle w:val="Emphasis"/>
        </w:rPr>
        <w:t>EWSR1</w:t>
      </w:r>
      <w:r>
        <w:rPr/>
        <w:t xml:space="preserve"> reagent and T-N* for the </w:t>
      </w:r>
      <w:r>
        <w:rPr>
          <w:rStyle w:val="Emphasis"/>
        </w:rPr>
        <w:t>TAF15</w:t>
      </w:r>
      <w:r>
        <w:rPr/>
        <w:t xml:space="preserve"> reagent; the two patient-derived models of Bangerter et al. (</w:t>
      </w:r>
      <w:hyperlink r:id="rId28">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The separation is a floor rather than an estimate, for the reason Methods gives; absolute melting points are not reported for a locked, phosphorothioate oligonucleotide. Nothing here has been synthesised or tested, and no sequence may be administered to any person or animal.</w:t>
      </w:r>
    </w:p>
    <w:tbl>
      <w:tblPr>
        <w:tblW w:w="8930" w:type="dxa"/>
        <w:jc w:val="left"/>
        <w:tblInd w:w="0" w:type="dxa"/>
        <w:tblLayout w:type="fixed"/>
        <w:tblCellMar>
          <w:top w:w="28" w:type="dxa"/>
          <w:left w:w="28" w:type="dxa"/>
          <w:bottom w:w="28" w:type="dxa"/>
          <w:right w:w="28" w:type="dxa"/>
        </w:tblCellMar>
      </w:tblPr>
      <w:tblGrid>
        <w:gridCol w:w="2026"/>
        <w:gridCol w:w="2836"/>
        <w:gridCol w:w="751"/>
        <w:gridCol w:w="1861"/>
        <w:gridCol w:w="1456"/>
      </w:tblGrid>
      <w:tr>
        <w:trPr>
          <w:tblHeader w:val="true"/>
        </w:trPr>
        <w:tc>
          <w:tcPr>
            <w:tcW w:w="8930" w:type="dxa"/>
            <w:gridSpan w:val="5"/>
            <w:tcBorders/>
            <w:vAlign w:val="center"/>
          </w:tcPr>
          <w:p>
            <w:pPr>
              <w:pStyle w:val="TableHeading"/>
              <w:suppressLineNumbers/>
              <w:shd w:fill="EAEEF2" w:val="clear"/>
              <w:bidi w:val="0"/>
              <w:jc w:val="left"/>
              <w:rPr/>
            </w:pPr>
            <w:r>
              <w:rPr/>
              <w:t>Table 1</w:t>
            </w:r>
          </w:p>
        </w:tc>
      </w:tr>
      <w:tr>
        <w:trPr>
          <w:tblHeader w:val="true"/>
        </w:trPr>
        <w:tc>
          <w:tcPr>
            <w:tcW w:w="2026" w:type="dxa"/>
            <w:tcBorders/>
            <w:vAlign w:val="center"/>
          </w:tcPr>
          <w:p>
            <w:pPr>
              <w:pStyle w:val="TableHeading"/>
              <w:suppressLineNumbers/>
              <w:shd w:fill="EAEEF2" w:val="clear"/>
              <w:bidi w:val="0"/>
              <w:jc w:val="left"/>
              <w:rPr/>
            </w:pPr>
            <w:r>
              <w:rPr/>
              <w:t>seam</w:t>
            </w:r>
          </w:p>
        </w:tc>
        <w:tc>
          <w:tcPr>
            <w:tcW w:w="2836"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861" w:type="dxa"/>
            <w:tcBorders/>
            <w:vAlign w:val="center"/>
          </w:tcPr>
          <w:p>
            <w:pPr>
              <w:pStyle w:val="TableHeading"/>
              <w:suppressLineNumbers/>
              <w:shd w:fill="EAEEF2" w:val="clear"/>
              <w:bidi w:val="0"/>
              <w:jc w:val="left"/>
              <w:rPr/>
            </w:pPr>
            <w:r>
              <w:rPr/>
              <w:t>WT gap duplex (bp)</w:t>
            </w:r>
          </w:p>
        </w:tc>
        <w:tc>
          <w:tcPr>
            <w:tcW w:w="1456" w:type="dxa"/>
            <w:tcBorders/>
            <w:vAlign w:val="center"/>
          </w:tcPr>
          <w:p>
            <w:pPr>
              <w:pStyle w:val="TableHeading"/>
              <w:suppressLineNumbers/>
              <w:shd w:fill="EAEEF2" w:val="clear"/>
              <w:bidi w:val="0"/>
              <w:jc w:val="left"/>
              <w:rPr/>
            </w:pPr>
            <w:r>
              <w:rPr/>
              <w:t>ΔTm floor (°C)</w:t>
            </w:r>
          </w:p>
        </w:tc>
      </w:tr>
      <w:tr>
        <w:trPr/>
        <w:tc>
          <w:tcPr>
            <w:tcW w:w="2026"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836"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861" w:type="dxa"/>
            <w:tcBorders/>
            <w:vAlign w:val="center"/>
          </w:tcPr>
          <w:p>
            <w:pPr>
              <w:pStyle w:val="TableContents"/>
              <w:widowControl w:val="false"/>
              <w:suppressLineNumbers/>
              <w:bidi w:val="0"/>
              <w:jc w:val="left"/>
              <w:rPr/>
            </w:pPr>
            <w:r>
              <w:rPr/>
              <w:t xml:space="preserve">8 bp, wild-type </w:t>
            </w:r>
            <w:r>
              <w:rPr>
                <w:rStyle w:val="Emphasis"/>
              </w:rPr>
              <w:t>TFG</w:t>
            </w:r>
          </w:p>
        </w:tc>
        <w:tc>
          <w:tcPr>
            <w:tcW w:w="1456" w:type="dxa"/>
            <w:tcBorders/>
            <w:vAlign w:val="center"/>
          </w:tcPr>
          <w:p>
            <w:pPr>
              <w:pStyle w:val="TableContents"/>
              <w:widowControl w:val="false"/>
              <w:suppressLineNumbers/>
              <w:bidi w:val="0"/>
              <w:jc w:val="left"/>
              <w:rPr/>
            </w:pPr>
            <w:r>
              <w:rPr/>
              <w:t xml:space="preserve">≥ </w:t>
            </w:r>
            <w:r>
              <w:rPr/>
              <w:t>26.6</w:t>
            </w:r>
          </w:p>
        </w:tc>
      </w:tr>
      <w:tr>
        <w:trPr/>
        <w:tc>
          <w:tcPr>
            <w:tcW w:w="2026"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836"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861" w:type="dxa"/>
            <w:tcBorders/>
            <w:vAlign w:val="center"/>
          </w:tcPr>
          <w:p>
            <w:pPr>
              <w:pStyle w:val="TableContents"/>
              <w:widowControl w:val="false"/>
              <w:suppressLineNumbers/>
              <w:bidi w:val="0"/>
              <w:jc w:val="left"/>
              <w:rPr/>
            </w:pPr>
            <w:r>
              <w:rPr/>
              <w:t xml:space="preserve">9 bp, wild-type </w:t>
            </w:r>
            <w:r>
              <w:rPr>
                <w:rStyle w:val="Emphasis"/>
              </w:rPr>
              <w:t>TFG</w:t>
            </w:r>
          </w:p>
        </w:tc>
        <w:tc>
          <w:tcPr>
            <w:tcW w:w="1456" w:type="dxa"/>
            <w:tcBorders/>
            <w:vAlign w:val="center"/>
          </w:tcPr>
          <w:p>
            <w:pPr>
              <w:pStyle w:val="TableContents"/>
              <w:widowControl w:val="false"/>
              <w:suppressLineNumbers/>
              <w:bidi w:val="0"/>
              <w:jc w:val="left"/>
              <w:rPr/>
            </w:pPr>
            <w:r>
              <w:rPr/>
              <w:t xml:space="preserve">≥ </w:t>
            </w:r>
            <w:r>
              <w:rPr/>
              <w:t>36.0</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The Controls section above explains why that screening step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9"/>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WenQuanYi Zen Hei" w:cs="Free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WenQuanYi Zen Hei" w:cs="Free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WenQuanYi Zen Hei" w:cs="Free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229096"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111/his.70131" TargetMode="External"/><Relationship Id="rId7" Type="http://schemas.openxmlformats.org/officeDocument/2006/relationships/hyperlink" Target="https://doi.org/10.1007/s00432-025-06316-5" TargetMode="External"/><Relationship Id="rId8" Type="http://schemas.openxmlformats.org/officeDocument/2006/relationships/hyperlink" Target="https://doi.org/10.1186/2045-3329-3-16" TargetMode="External"/><Relationship Id="rId9" Type="http://schemas.openxmlformats.org/officeDocument/2006/relationships/hyperlink" Target="https://doi.org/10.1016/S1470-2045(19)30319-5" TargetMode="External"/><Relationship Id="rId10" Type="http://schemas.openxmlformats.org/officeDocument/2006/relationships/hyperlink" Target="https://doi.org/10.1023/a:1005716926800" TargetMode="External"/><Relationship Id="rId11" Type="http://schemas.openxmlformats.org/officeDocument/2006/relationships/hyperlink" Target="https://doi.org/10.1093/noajnl/vdaa132" TargetMode="External"/><Relationship Id="rId12" Type="http://schemas.openxmlformats.org/officeDocument/2006/relationships/hyperlink" Target="https://doi.org/10.1089/hum.2011.079" TargetMode="External"/><Relationship Id="rId13" Type="http://schemas.openxmlformats.org/officeDocument/2006/relationships/hyperlink" Target="https://doi.org/10.1158/1078-0432.ccr-12-2715" TargetMode="External"/><Relationship Id="rId14" Type="http://schemas.openxmlformats.org/officeDocument/2006/relationships/hyperlink" Target="https://doi.org/10.1016/j.ymthe.2023.11.012" TargetMode="External"/><Relationship Id="rId15" Type="http://schemas.openxmlformats.org/officeDocument/2006/relationships/hyperlink" Target="https://doi.org/10.1016/j.ddtec.2005.08.012" TargetMode="External"/><Relationship Id="rId16" Type="http://schemas.openxmlformats.org/officeDocument/2006/relationships/hyperlink" Target="https://doi.org/10.1089/nat.2024.0072" TargetMode="External"/><Relationship Id="rId17" Type="http://schemas.openxmlformats.org/officeDocument/2006/relationships/hyperlink" Target="https://doi.org/10.1093/nar/gkae1071" TargetMode="External"/><Relationship Id="rId18" Type="http://schemas.openxmlformats.org/officeDocument/2006/relationships/hyperlink" Target="https://doi.org/10.1021/bi00035a029" TargetMode="External"/><Relationship Id="rId19" Type="http://schemas.openxmlformats.org/officeDocument/2006/relationships/hyperlink" Target="https://doi.org/10.1002/gcc.10127" TargetMode="External"/><Relationship Id="rId20" Type="http://schemas.openxmlformats.org/officeDocument/2006/relationships/hyperlink" Target="https://doi.org/10.1016/j.modpat.2023.100161" TargetMode="External"/><Relationship Id="rId21" Type="http://schemas.openxmlformats.org/officeDocument/2006/relationships/hyperlink" Target="https://doi.org/10.3390/ijms19071855" TargetMode="External"/><Relationship Id="rId22" Type="http://schemas.openxmlformats.org/officeDocument/2006/relationships/hyperlink" Target="https://doi.org/10.1200/po.22.00039" TargetMode="External"/><Relationship Id="rId23" Type="http://schemas.openxmlformats.org/officeDocument/2006/relationships/hyperlink" Target="https://doi.org/10.1002/path.5284" TargetMode="External"/><Relationship Id="rId24" Type="http://schemas.openxmlformats.org/officeDocument/2006/relationships/hyperlink" Target="https://doi.org/10.1007/s13577-022-00818-x" TargetMode="External"/><Relationship Id="rId25" Type="http://schemas.openxmlformats.org/officeDocument/2006/relationships/hyperlink" Target="https://doi.org/10.3390/cancers15123127" TargetMode="External"/><Relationship Id="rId26" Type="http://schemas.openxmlformats.org/officeDocument/2006/relationships/hyperlink" Target="https://doi.org/10.4143/crt.2022.910" TargetMode="External"/><Relationship Id="rId27" Type="http://schemas.openxmlformats.org/officeDocument/2006/relationships/hyperlink" Target="https://pubmed.ncbi.nlm.nih.gov/31020999/" TargetMode="External"/><Relationship Id="rId28" Type="http://schemas.openxmlformats.org/officeDocument/2006/relationships/hyperlink" Target="https://pubmed.ncbi.nlm.nih.gov/36316541/" TargetMode="External"/><Relationship Id="rId29" Type="http://schemas.openxmlformats.org/officeDocument/2006/relationships/image" Target="media/image1.png"/><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