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partner-gene fusion to </w:t>
      </w:r>
      <w:r>
        <w:rPr>
          <w:rStyle w:val="Emphasis"/>
        </w:rPr>
        <w:t>NR4A3</w:t>
      </w:r>
      <w:r>
        <w:rPr/>
        <w:t xml:space="preserve">. That junction is in no normal transcript, so an antisense gapmer could in principle cleave the fusion and spare its parents, and no such design is reported for any </w:t>
      </w:r>
      <w:r>
        <w:rPr>
          <w:rStyle w:val="Emphasis"/>
        </w:rPr>
        <w:t>NR4A3</w:t>
      </w:r>
      <w:r>
        <w:rPr/>
        <w:t xml:space="preserve"> fusion. This work is computational;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the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acceptor renumbered. Also released is the procedure that produced the 190 designs.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1 · Background</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w:t>
      </w:r>
      <w:r>
        <w:rPr>
          <w:position w:val="7"/>
          <w:sz w:val="17"/>
        </w:rPr>
        <w:t>1</w:t>
      </w:r>
      <w:r>
        <w:rPr/>
        <w:t xml:space="preserve">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w:t>
      </w:r>
      <w:r>
        <w:rPr>
          <w:position w:val="7"/>
          <w:sz w:val="17"/>
        </w:rPr>
        <w:t>2</w:t>
      </w:r>
      <w:r>
        <w:rPr/>
        <w:t xml:space="preserve"> The disease responds poorly to conventional cytotoxic chemotherapy,</w:t>
      </w:r>
      <w:r>
        <w:rPr>
          <w:position w:val="7"/>
          <w:sz w:val="17"/>
        </w:rPr>
        <w:t>3</w:t>
      </w:r>
      <w:r>
        <w:rPr/>
        <w:t xml:space="preserve"> though responses do occur,</w:t>
      </w:r>
      <w:r>
        <w:rPr>
          <w:position w:val="7"/>
          <w:sz w:val="17"/>
        </w:rPr>
        <w:t>4</w:t>
      </w:r>
      <w:r>
        <w:rPr/>
        <w:t xml:space="preserve"> and a tyrosine-kinase inhibitor trialled in it gave disease control more often than response — a reading composed from the review's response categories</w:t>
      </w:r>
      <w:r>
        <w:rPr>
          <w:position w:val="7"/>
          <w:sz w:val="17"/>
        </w:rPr>
        <w:t>3</w:t>
      </w:r>
      <w:r>
        <w:rPr/>
        <w:t xml:space="preserve"> rather than from a figure stated in the trial report.</w:t>
      </w:r>
      <w:r>
        <w:rPr>
          <w:position w:val="7"/>
          <w:sz w:val="17"/>
        </w:rPr>
        <w:t>5</w:t>
      </w:r>
    </w:p>
    <w:p>
      <w:pPr>
        <w:pStyle w:val="BodyText"/>
        <w:bidi w:val="0"/>
        <w:rPr/>
      </w:pPr>
      <w:r>
        <w:rPr/>
        <w:t>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are a thirty-five-year lineage, reported against at least six fusion oncogenes: two as antisense oligonucleotides, the rest as RNA-interference agents, one of those from a lentiviral vector rather than an administered oligonucleotide.</w:t>
      </w:r>
      <w:r>
        <w:rPr>
          <w:position w:val="7"/>
          <w:sz w:val="17"/>
        </w:rPr>
        <w:t>6,7,8,9,10,11</w:t>
      </w:r>
      <w:r>
        <w:rPr/>
        <w:t xml:space="preserve"> No such design is reported for any </w:t>
      </w:r>
      <w:r>
        <w:rPr>
          <w:rStyle w:val="Emphasis"/>
        </w:rPr>
        <w:t>NR4A3</w:t>
      </w:r>
      <w:r>
        <w:rPr/>
        <w:t xml:space="preserve"> fusion in the literature retrieved here, and that absence is why this work exists.</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RNase-H1 does not require the whole duplex, only that the gap be paired — a premise adopted here rather than established, and one whose length requirement is stated in a different unit from the criterion this paper screens on. The requirement is reported as a DNA gap of at least six nucleotides, with seven to ten the working range;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before recommending any.</w:t>
      </w:r>
    </w:p>
    <w:p>
      <w:pPr>
        <w:pStyle w:val="Heading2"/>
        <w:bidi w:val="0"/>
        <w:jc w:val="left"/>
        <w:rPr/>
      </w:pPr>
      <w:r>
        <w:rPr/>
        <w:t>2 · 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§3's ten-base-pair criterion.</w:t>
      </w:r>
    </w:p>
    <w:p>
      <w:pPr>
        <w:pStyle w:val="BodyText"/>
        <w:bidi w:val="0"/>
        <w:rPr/>
      </w:pPr>
      <w:r>
        <w:rPr/>
        <w:t xml:space="preserve">Both sit close to it.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so the cut decides how they read: at eight both fall inside the class this work marks as not to be ordered, at nine the </w:t>
      </w:r>
      <w:r>
        <w:rPr>
          <w:rStyle w:val="Emphasis"/>
        </w:rPr>
        <w:t>TAF15</w:t>
      </w:r>
      <w:r>
        <w:rPr/>
        <w:t xml:space="preserve"> reagent alone does, and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(Table 2).</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Discounted by the breakpoint distribution of an 18-case series,</w:t>
      </w:r>
      <w:r>
        <w:rPr>
          <w:position w:val="7"/>
          <w:sz w:val="17"/>
        </w:rPr>
        <w:t>12</w:t>
      </w:r>
      <w:r>
        <w:rPr/>
        <w:t xml:space="preserve"> the two junctions account for 68.4% of molecularly confirmed cases in a 58-case cohort.</w:t>
      </w:r>
      <w:r>
        <w:rPr>
          <w:position w:val="7"/>
          <w:sz w:val="17"/>
        </w:rPr>
        <w:t>13</w:t>
      </w:r>
      <w:r>
        <w:rPr/>
        <w:t xml:space="preserve">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on grounds the extended report sets out.</w:t>
      </w:r>
    </w:p>
    <w:p>
      <w:pPr>
        <w:pStyle w:val="Heading2"/>
        <w:bidi w:val="0"/>
        <w:jc w:val="left"/>
        <w:rPr/>
      </w:pPr>
      <w:r>
        <w:rPr/>
        <w:t>3 · Selection from a panel of 190 designs</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w:t>
      </w:r>
    </w:p>
    <w:p>
      <w:pPr>
        <w:pStyle w:val="BodyText"/>
        <w:bidi w:val="0"/>
        <w:rPr/>
      </w:pPr>
      <w:r>
        <w:rPr/>
        <w:t>Lengthening the catalytic gap does not remove this liability, for a reason that is arithmetic rather than empirical: every base inside the gap comes from the donor or the acceptor exon, so a longer gap buys margin only by conceding parent-paired gap DNA at the design's own seam. Screened across three geometries the liable count does not fall, and at 5-10-5 the criterion is not independent of the geometry at all; the extended report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Both readings are properties of the cut. At nine base pairs 31 of the 38 still clear and three of the five published ones do; at eight, 23 and two; at seven, 9 and none; at six, 6 and none. Those cuts are whole-duplex run lengths, not the enzyme's own unit, so no cut on this ladder is the enzymology restated, and the availability the two named reagents rest on fails at a run cut of nine, where the </w:t>
      </w:r>
      <w:r>
        <w:rPr>
          <w:rStyle w:val="Emphasis"/>
        </w:rPr>
        <w:t>TAF15</w:t>
      </w:r>
      <w:r>
        <w:rPr/>
        <w:t xml:space="preserve"> junction's best design is itself liable. Read as design counts the loose cuts condemn almost everything: 175 of 190 at seven and 181 at six.</w:t>
      </w:r>
    </w:p>
    <w:p>
      <w:pPr>
        <w:pStyle w:val="BodyText"/>
        <w:bidi w:val="0"/>
        <w:rPr/>
      </w:pPr>
      <w:r>
        <w:rPr/>
        <w:t>Two bounds on the cleanliness claim: seven of the 190 screens never returned, and the alignment screen censors the rest, leaving 47 of 183 assessable at all, so a count of clean designs is a floor over that subset and not a total over the panel; and most designs clean at the default search ceiling are not clean at a deeper one.</w:t>
      </w:r>
    </w:p>
    <w:p>
      <w:pPr>
        <w:pStyle w:val="BodyText"/>
        <w:bidi w:val="0"/>
        <w:rPr/>
      </w:pPr>
      <w:r>
        <w:rPr/>
        <w:t>The ten-base-pair criterion is adopted rather than measured, and the comparison against null models does not resolve an excess specific to this disease. Mononucleotide scrambles — the weakest of the ten nulls screened, and not the dinucleotide-preserving control §5 prescribes — meet the parent screen at 6.2% against 45.8% for the panel, but chimeras built at real exon termini of the same two transcripts, at junctions almost never reported in a patient, meet it at 40.6%.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2"/>
        <w:bidi w:val="0"/>
        <w:jc w:val="left"/>
        <w:rPr/>
      </w:pPr>
      <w:r>
        <w:rPr/>
        <w:t>4 · 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all four annotated </w:t>
      </w:r>
      <w:r>
        <w:rPr>
          <w:rStyle w:val="Emphasis"/>
        </w:rPr>
        <w:t>NR4A3</w:t>
      </w:r>
      <w:r>
        <w:rPr/>
        <w:t xml:space="preserve"> transcripts, the three with a RefSeq accession included, exon 3 is the first coding exon and exon 2 is non-coding, so a reported exon-2 acceptor is not this panel's acceptor renumbered.</w:t>
      </w:r>
    </w:p>
    <w:p>
      <w:pPr>
        <w:pStyle w:val="BodyText"/>
        <w:bidi w:val="0"/>
        <w:rPr/>
      </w:pPr>
      <w:r>
        <w:rPr/>
        <w:t>Three are engineered constructs from a published functional study,</w:t>
      </w:r>
      <w:r>
        <w:rPr>
          <w:position w:val="7"/>
          <w:sz w:val="17"/>
        </w:rPr>
        <w:t>14</w:t>
      </w:r>
      <w:r>
        <w:rPr/>
        <w:t xml:space="preserve">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The other two are patient-derived, identity-clean models reported with two EMC tumours,</w:t>
      </w:r>
      <w:r>
        <w:rPr>
          <w:position w:val="7"/>
          <w:sz w:val="17"/>
        </w:rPr>
        <w:t>15</w:t>
      </w:r>
      <w:r>
        <w:rPr/>
        <w:t xml:space="preserve">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 The released builder will not emit an exon-2 acceptor unaided: a non-coding acceptor needs its published-breakpoint list extended first. Reagents exist at both acceptors, neither of them a molecule named above: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§5's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w:t>
      </w:r>
      <w:r>
        <w:rPr>
          <w:position w:val="7"/>
          <w:sz w:val="17"/>
        </w:rPr>
        <w:t>3</w:t>
      </w:r>
    </w:p>
    <w:p>
      <w:pPr>
        <w:pStyle w:val="Heading2"/>
        <w:bidi w:val="0"/>
        <w:jc w:val="left"/>
        <w:rPr/>
      </w:pPr>
      <w:r>
        <w:rPr/>
        <w:t>5 · 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w:t>
      </w:r>
      <w:r>
        <w:rPr>
          <w:position w:val="7"/>
          <w:sz w:val="17"/>
        </w:rPr>
        <w:t>16</w:t>
      </w:r>
      <w:r>
        <w:rPr/>
        <w:t xml:space="preserve"> The extended report specifies it for these reagents, with three controls a knockdown assay alone cannot distinguish. One belongs here because it constrains what may be ordered: the dinucleotide-preserving scramble must itself pass the mature-parent screen before synthesis, because 10.0% of dinucleotide-preserving scrambles pair a parent's whole catalytic gap at the ten-base-pair criterion and 3.9% do so against wild-type </w:t>
      </w:r>
      <w:r>
        <w:rPr>
          <w:rStyle w:val="Emphasis"/>
        </w:rPr>
        <w:t>NR4A3</w:t>
      </w:r>
      <w:r>
        <w:rPr/>
        <w:t>.</w:t>
      </w:r>
    </w:p>
    <w:p>
      <w:pPr>
        <w:pStyle w:val="BodyText"/>
        <w:bidi w:val="0"/>
        <w:rPr/>
      </w:pPr>
      <w:r>
        <w:rPr/>
        <w:t xml:space="preserve">Selectivity is the wild-type </w:t>
      </w:r>
      <w:r>
        <w:rPr>
          <w:rStyle w:val="Emphasis"/>
        </w:rPr>
        <w:t>NR4A3</w:t>
      </w:r>
      <w:r>
        <w:rPr/>
        <w:t xml:space="preserve"> half-maximal knockdown concentration divided by the fusion's, from a matched dose-response in the same wells, at a cut of 5.0 adopted as a convention. At a replicate standard deviation of 0.35 on the natural-log scale,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2"/>
        <w:bidi w:val="0"/>
        <w:jc w:val="left"/>
        <w:rPr/>
      </w:pPr>
      <w:r>
        <w:rPr/>
        <w:t>6 · Discussion</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and the precursor arm on a hit at up to two mismatches with the gap fully paired, so neither restates the other, and their counts may not be added because a design condemned in both is one design. A third compartment is searched only in the extended report: the patient's own un-rearranged </w:t>
      </w:r>
      <w:r>
        <w:rPr>
          <w:rStyle w:val="Emphasis"/>
        </w:rPr>
        <w:t>NR4A3</w:t>
      </w:r>
      <w:r>
        <w:rPr/>
        <w:t xml:space="preserve"> allele, at a two-mismatch ceiling that bounds its class from below. No design this panel selects is condemned by it, but it excludes two registers of §4's </w:t>
      </w:r>
      <w:r>
        <w:rPr>
          <w:rStyle w:val="Emphasis"/>
        </w:rPr>
        <w:t>EWSR1</w:t>
      </w:r>
      <w:r>
        <w:rPr/>
        <w:t xml:space="preserve"> exon 13 to </w:t>
      </w:r>
      <w:r>
        <w:rPr>
          <w:rStyle w:val="Emphasis"/>
        </w:rPr>
        <w:t>NR4A3</w:t>
      </w:r>
      <w:r>
        <w:rPr/>
        <w:t xml:space="preserve"> exon-2 seam while clearing that reagent — the register hazard of §2 arriving from a compartment the panel's selection never has to consider.</w:t>
      </w:r>
    </w:p>
    <w:p>
      <w:pPr>
        <w:pStyle w:val="BodyText"/>
        <w:bidi w:val="0"/>
        <w:rPr/>
      </w:pPr>
      <w:r>
        <w:rPr/>
        <w:t>The four junction-specificity reports cited here</w:t>
      </w:r>
      <w:r>
        <w:rPr>
          <w:position w:val="7"/>
          <w:sz w:val="17"/>
        </w:rPr>
        <w:t>8,9,10,17</w:t>
      </w:r>
      <w:r>
        <w:rPr/>
        <w:t xml:space="preserve">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w:t>
      </w:r>
      <w:r>
        <w:rPr>
          <w:rStyle w:val="Emphasis"/>
        </w:rPr>
        <w:t>NR4A1</w:t>
      </w:r>
      <w:r>
        <w:rPr/>
        <w:t xml:space="preserve"> and </w:t>
      </w:r>
      <w:r>
        <w:rPr>
          <w:rStyle w:val="Emphasis"/>
        </w:rPr>
        <w:t>NR4A3</w:t>
      </w:r>
      <w:r>
        <w:rPr/>
        <w:t xml:space="preserve"> are functionally redundant where tested,</w:t>
      </w:r>
      <w:r>
        <w:rPr>
          <w:position w:val="7"/>
          <w:sz w:val="17"/>
        </w:rPr>
        <w:t>18,19</w:t>
      </w:r>
      <w:r>
        <w:rPr/>
        <w:t xml:space="preserve"> which cuts against the premise; against that, reduced </w:t>
      </w:r>
      <w:r>
        <w:rPr>
          <w:rStyle w:val="Emphasis"/>
        </w:rPr>
        <w:t>NR4A1</w:t>
      </w:r>
      <w:r>
        <w:rPr/>
        <w:t>/</w:t>
      </w:r>
      <w:r>
        <w:rPr>
          <w:rStyle w:val="Emphasis"/>
        </w:rPr>
        <w:t>NR4A3</w:t>
      </w:r>
      <w:r>
        <w:rPr/>
        <w:t xml:space="preserve"> dosage is consequential in mice,</w:t>
      </w:r>
      <w:r>
        <w:rPr>
          <w:position w:val="7"/>
          <w:sz w:val="17"/>
        </w:rPr>
        <w:t>20</w:t>
      </w:r>
      <w:r>
        <w:rPr/>
        <w:t xml:space="preserve"> and the family is not uniform in direction, </w:t>
      </w:r>
      <w:r>
        <w:rPr>
          <w:rStyle w:val="Emphasis"/>
        </w:rPr>
        <w:t>NR4A3</w:t>
      </w:r>
      <w:r>
        <w:rPr/>
        <w:t xml:space="preserve"> aggravating murine atherosclerotic lesions where its paralogues attenuate them.</w:t>
      </w:r>
      <w:r>
        <w:rPr>
          <w:position w:val="7"/>
          <w:sz w:val="17"/>
        </w:rPr>
        <w:t>21</w:t>
      </w:r>
      <w:r>
        <w:rPr/>
        <w:t xml:space="preserve"> The evidence is not decisive either way.</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being long established; what is new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7 · Methods</w:t>
      </w:r>
    </w:p>
    <w:p>
      <w:pPr>
        <w:pStyle w:val="BodyText"/>
        <w:bidi w:val="0"/>
        <w:rPr/>
      </w:pPr>
      <w:r>
        <w:rPr/>
        <w:t>All analyses are computational and use public data; no laboratory work was performed. Full parameters, the complete bounds on each claim and the per-design tables are in the extended report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w:t>
      </w:r>
      <w:r>
        <w:rPr>
          <w:position w:val="7"/>
          <w:sz w:val="17"/>
        </w:rPr>
        <w:t>22</w:t>
      </w:r>
      <w:r>
        <w:rPr/>
        <w:t xml:space="preserve"> Junction-spanning 16-mer gapmers were tiled in a 5-6-5 β-D-oxy-locked-nucleic-acid/DNA/β-D-oxy-locked-nucleic-acid geometry,</w:t>
      </w:r>
      <w:r>
        <w:rPr>
          <w:position w:val="7"/>
          <w:sz w:val="17"/>
        </w:rPr>
        <w:t>23</w:t>
      </w:r>
      <w:r>
        <w:rPr/>
        <w:t xml:space="preserve">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an alignment screen against human RefSeq RNA, classifying each near-match by whether the catalytic gap is paired; an exhaustive transcript scan complete for substitutions within a one-mismatch budget; a screen of the parents' unspliced sequence; a mature-parent screen recording the longest contiguous duplex any of six wild-type parent transcripts forms through the catalytic gap; and a genome-wide screen over every position of GRCh38. A near-match is a transcript window pairing a design at 14 or more of its 16 positions.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w:t>
      </w:r>
      <w:r>
        <w:rPr>
          <w:position w:val="7"/>
          <w:sz w:val="17"/>
        </w:rPr>
        <w:t>24</w:t>
      </w:r>
      <w:r>
        <w:rPr/>
        <w:t xml:space="preserve"> the locked residues are not modelled, and the fusion duplex pairs all ten where each parent pairs five, so the reported separation is a floor.</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3">
        <w:r>
          <w:rPr>
            <w:rStyle w:val="Hyperlink"/>
          </w:rPr>
          <w:t>PMID: 31020999</w:t>
        </w:r>
      </w:hyperlink>
      <w:r>
        <w:rPr/>
        <w:t>); the two patient-derived models of Bangerter et al. (</w:t>
      </w:r>
      <w:hyperlink r:id="rId4">
        <w:r>
          <w:rPr>
            <w:rStyle w:val="Hyperlink"/>
          </w:rPr>
          <w:t>PMID: 36316541</w:t>
        </w:r>
      </w:hyperlink>
      <w:r>
        <w:rPr/>
        <w:t>) are REPORTED at an NR4A3 exon-2 acceptor and match different designs, not these two. Tm is against the fusion target and against the closest wild-type parent, by the method and with the caveat given in Methods.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463"/>
        <w:gridCol w:w="2703"/>
        <w:gridCol w:w="751"/>
        <w:gridCol w:w="1351"/>
        <w:gridCol w:w="1721"/>
        <w:gridCol w:w="1877"/>
      </w:tblGrid>
      <w:tr>
        <w:trPr>
          <w:tblHeader w:val="true"/>
        </w:trPr>
        <w:tc>
          <w:tcPr>
            <w:tcW w:w="9866" w:type="dxa"/>
            <w:gridSpan w:val="6"/>
            <w:tcBorders/>
            <w:vAlign w:val="center"/>
          </w:tcPr>
          <w:p>
            <w:pPr>
              <w:pStyle w:val="TableHeading"/>
              <w:suppressLineNumbers/>
              <w:shd w:fill="EAEEF2" w:val="clear"/>
              <w:bidi w:val="0"/>
              <w:jc w:val="left"/>
              <w:rPr/>
            </w:pPr>
            <w:r>
              <w:rPr/>
              <w:t>Table 1. The two reagents named for synthesis, with their parent-duplex label and their test article</w:t>
            </w:r>
          </w:p>
        </w:tc>
      </w:tr>
      <w:tr>
        <w:trPr>
          <w:tblHeader w:val="true"/>
        </w:trPr>
        <w:tc>
          <w:tcPr>
            <w:tcW w:w="1463" w:type="dxa"/>
            <w:tcBorders/>
            <w:vAlign w:val="center"/>
          </w:tcPr>
          <w:p>
            <w:pPr>
              <w:pStyle w:val="TableHeading"/>
              <w:suppressLineNumbers/>
              <w:shd w:fill="EAEEF2" w:val="clear"/>
              <w:bidi w:val="0"/>
              <w:jc w:val="left"/>
              <w:rPr/>
            </w:pPr>
            <w:r>
              <w:rPr/>
              <w:t>seam</w:t>
            </w:r>
          </w:p>
        </w:tc>
        <w:tc>
          <w:tcPr>
            <w:tcW w:w="2703"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351" w:type="dxa"/>
            <w:tcBorders/>
            <w:vAlign w:val="center"/>
          </w:tcPr>
          <w:p>
            <w:pPr>
              <w:pStyle w:val="TableHeading"/>
              <w:suppressLineNumbers/>
              <w:shd w:fill="EAEEF2" w:val="clear"/>
              <w:bidi w:val="0"/>
              <w:jc w:val="left"/>
              <w:rPr/>
            </w:pPr>
            <w:r>
              <w:rPr/>
              <w:t>WT gap duplex (bp)</w:t>
            </w:r>
          </w:p>
        </w:tc>
        <w:tc>
          <w:tcPr>
            <w:tcW w:w="1721" w:type="dxa"/>
            <w:tcBorders/>
            <w:vAlign w:val="center"/>
          </w:tcPr>
          <w:p>
            <w:pPr>
              <w:pStyle w:val="TableHeading"/>
              <w:suppressLineNumbers/>
              <w:shd w:fill="EAEEF2" w:val="clear"/>
              <w:bidi w:val="0"/>
              <w:jc w:val="left"/>
              <w:rPr/>
            </w:pPr>
            <w:r>
              <w:rPr/>
              <w:t>Tm fusion / WT parent (°C)</w:t>
            </w:r>
          </w:p>
        </w:tc>
        <w:tc>
          <w:tcPr>
            <w:tcW w:w="1877" w:type="dxa"/>
            <w:tcBorders/>
            <w:vAlign w:val="center"/>
          </w:tcPr>
          <w:p>
            <w:pPr>
              <w:pStyle w:val="TableHeading"/>
              <w:suppressLineNumbers/>
              <w:shd w:fill="EAEEF2" w:val="clear"/>
              <w:bidi w:val="0"/>
              <w:jc w:val="left"/>
              <w:rPr/>
            </w:pPr>
            <w:r>
              <w:rPr/>
              <w:t>test article</w:t>
            </w:r>
          </w:p>
        </w:tc>
      </w:tr>
      <w:tr>
        <w:trPr/>
        <w:tc>
          <w:tcPr>
            <w:tcW w:w="1463"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03"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351" w:type="dxa"/>
            <w:tcBorders/>
            <w:vAlign w:val="center"/>
          </w:tcPr>
          <w:p>
            <w:pPr>
              <w:pStyle w:val="TableContents"/>
              <w:widowControl w:val="false"/>
              <w:suppressLineNumbers/>
              <w:bidi w:val="0"/>
              <w:jc w:val="left"/>
              <w:rPr/>
            </w:pPr>
            <w:r>
              <w:rPr/>
              <w:t xml:space="preserve">8 bp, wild-type </w:t>
            </w:r>
            <w:r>
              <w:rPr>
                <w:rStyle w:val="Emphasis"/>
              </w:rPr>
              <w:t>TFG</w:t>
            </w:r>
          </w:p>
        </w:tc>
        <w:tc>
          <w:tcPr>
            <w:tcW w:w="1721" w:type="dxa"/>
            <w:tcBorders/>
            <w:vAlign w:val="center"/>
          </w:tcPr>
          <w:p>
            <w:pPr>
              <w:pStyle w:val="TableContents"/>
              <w:widowControl w:val="false"/>
              <w:suppressLineNumbers/>
              <w:bidi w:val="0"/>
              <w:jc w:val="left"/>
              <w:rPr/>
            </w:pPr>
            <w:r>
              <w:rPr/>
              <w:t>51.3 / 24.7</w:t>
            </w:r>
          </w:p>
        </w:tc>
        <w:tc>
          <w:tcPr>
            <w:tcW w:w="1877" w:type="dxa"/>
            <w:tcBorders/>
            <w:vAlign w:val="center"/>
          </w:tcPr>
          <w:p>
            <w:pPr>
              <w:pStyle w:val="TableContents"/>
              <w:widowControl w:val="false"/>
              <w:suppressLineNumbers/>
              <w:bidi w:val="0"/>
              <w:jc w:val="left"/>
              <w:rPr/>
            </w:pPr>
            <w:r>
              <w:rPr/>
              <w:t>E-N, engineered construct</w:t>
            </w:r>
          </w:p>
        </w:tc>
      </w:tr>
      <w:tr>
        <w:trPr/>
        <w:tc>
          <w:tcPr>
            <w:tcW w:w="1463"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03"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351" w:type="dxa"/>
            <w:tcBorders/>
            <w:vAlign w:val="center"/>
          </w:tcPr>
          <w:p>
            <w:pPr>
              <w:pStyle w:val="TableContents"/>
              <w:widowControl w:val="false"/>
              <w:suppressLineNumbers/>
              <w:bidi w:val="0"/>
              <w:jc w:val="left"/>
              <w:rPr/>
            </w:pPr>
            <w:r>
              <w:rPr/>
              <w:t xml:space="preserve">9 bp, wild-type </w:t>
            </w:r>
            <w:r>
              <w:rPr>
                <w:rStyle w:val="Emphasis"/>
              </w:rPr>
              <w:t>TFG</w:t>
            </w:r>
          </w:p>
        </w:tc>
        <w:tc>
          <w:tcPr>
            <w:tcW w:w="1721" w:type="dxa"/>
            <w:tcBorders/>
            <w:vAlign w:val="center"/>
          </w:tcPr>
          <w:p>
            <w:pPr>
              <w:pStyle w:val="TableContents"/>
              <w:widowControl w:val="false"/>
              <w:suppressLineNumbers/>
              <w:bidi w:val="0"/>
              <w:jc w:val="left"/>
              <w:rPr/>
            </w:pPr>
            <w:r>
              <w:rPr/>
              <w:t>60.7 / 24.7</w:t>
            </w:r>
          </w:p>
        </w:tc>
        <w:tc>
          <w:tcPr>
            <w:tcW w:w="1877"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Two near-identical designs at one seam, one orderable and one not.</w:t>
      </w:r>
      <w:r>
        <w:rPr/>
        <w:t xml:space="preserve"> Each pair is two consecutive registers of one seam differing by a single-base slide, and the two members carry opposite verdicts: the condemned member pairs its whole catalytic gap against a wild-type parent at the ten-base-pair criterion and the orderable member does not. The condemned class reaches the reagents this paper names for synthesis: 5′-AGGGCATATCTTGTGT-3′ is one single-base slide from 5′-GGGCATATCTTGTGTG-3′ and pairs 11 bp of wild-type </w:t>
      </w:r>
      <w:r>
        <w:rPr>
          <w:rStyle w:val="Emphasis"/>
        </w:rPr>
        <w:t>NR4A3</w:t>
      </w:r>
      <w:r>
        <w:rPr/>
        <w:t xml:space="preserve"> through its whole catalytic gap. Neither may be substituted for the other, and neither is named for synthesis. The pairing is read from the canonical file's own cross-reference column.</w:t>
      </w:r>
    </w:p>
    <w:tbl>
      <w:tblPr>
        <w:tblW w:w="9866" w:type="dxa"/>
        <w:jc w:val="left"/>
        <w:tblInd w:w="0" w:type="dxa"/>
        <w:tblLayout w:type="fixed"/>
        <w:tblCellMar>
          <w:top w:w="28" w:type="dxa"/>
          <w:left w:w="28" w:type="dxa"/>
          <w:bottom w:w="28" w:type="dxa"/>
          <w:right w:w="28" w:type="dxa"/>
        </w:tblCellMar>
      </w:tblPr>
      <w:tblGrid>
        <w:gridCol w:w="1891"/>
        <w:gridCol w:w="2819"/>
        <w:gridCol w:w="2391"/>
        <w:gridCol w:w="751"/>
        <w:gridCol w:w="2014"/>
      </w:tblGrid>
      <w:tr>
        <w:trPr>
          <w:tblHeader w:val="true"/>
        </w:trPr>
        <w:tc>
          <w:tcPr>
            <w:tcW w:w="9866" w:type="dxa"/>
            <w:gridSpan w:val="5"/>
            <w:tcBorders/>
            <w:vAlign w:val="center"/>
          </w:tcPr>
          <w:p>
            <w:pPr>
              <w:pStyle w:val="TableHeading"/>
              <w:suppressLineNumbers/>
              <w:shd w:fill="EAEEF2" w:val="clear"/>
              <w:bidi w:val="0"/>
              <w:jc w:val="left"/>
              <w:rPr/>
            </w:pPr>
            <w:r>
              <w:rPr/>
              <w:t>Table 2. Two near-identical designs at one seam, one orderable and one not</w:t>
            </w:r>
          </w:p>
        </w:tc>
      </w:tr>
      <w:tr>
        <w:trPr>
          <w:tblHeader w:val="true"/>
        </w:trPr>
        <w:tc>
          <w:tcPr>
            <w:tcW w:w="1891" w:type="dxa"/>
            <w:tcBorders/>
            <w:vAlign w:val="center"/>
          </w:tcPr>
          <w:p>
            <w:pPr>
              <w:pStyle w:val="TableHeading"/>
              <w:suppressLineNumbers/>
              <w:shd w:fill="EAEEF2" w:val="clear"/>
              <w:bidi w:val="0"/>
              <w:jc w:val="left"/>
              <w:rPr/>
            </w:pPr>
            <w:r>
              <w:rPr/>
              <w:t>seam</w:t>
            </w:r>
          </w:p>
        </w:tc>
        <w:tc>
          <w:tcPr>
            <w:tcW w:w="2819" w:type="dxa"/>
            <w:tcBorders/>
            <w:vAlign w:val="center"/>
          </w:tcPr>
          <w:p>
            <w:pPr>
              <w:pStyle w:val="TableHeading"/>
              <w:suppressLineNumbers/>
              <w:shd w:fill="EAEEF2" w:val="clear"/>
              <w:bidi w:val="0"/>
              <w:jc w:val="left"/>
              <w:rPr/>
            </w:pPr>
            <w:r>
              <w:rPr/>
              <w:t>design</w:t>
            </w:r>
          </w:p>
        </w:tc>
        <w:tc>
          <w:tcPr>
            <w:tcW w:w="2391" w:type="dxa"/>
            <w:tcBorders/>
            <w:vAlign w:val="center"/>
          </w:tcPr>
          <w:p>
            <w:pPr>
              <w:pStyle w:val="TableHeading"/>
              <w:suppressLineNumbers/>
              <w:shd w:fill="EAEEF2" w:val="clear"/>
              <w:bidi w:val="0"/>
              <w:jc w:val="left"/>
              <w:rPr/>
            </w:pPr>
            <w:r>
              <w:rPr/>
              <w:t>verdict</w:t>
            </w:r>
          </w:p>
        </w:tc>
        <w:tc>
          <w:tcPr>
            <w:tcW w:w="751" w:type="dxa"/>
            <w:tcBorders/>
            <w:vAlign w:val="center"/>
          </w:tcPr>
          <w:p>
            <w:pPr>
              <w:pStyle w:val="TableHeading"/>
              <w:suppressLineNumbers/>
              <w:shd w:fill="EAEEF2" w:val="clear"/>
              <w:bidi w:val="0"/>
              <w:jc w:val="left"/>
              <w:rPr/>
            </w:pPr>
            <w:r>
              <w:rPr/>
              <w:t>margin</w:t>
            </w:r>
          </w:p>
        </w:tc>
        <w:tc>
          <w:tcPr>
            <w:tcW w:w="2014" w:type="dxa"/>
            <w:tcBorders/>
            <w:vAlign w:val="center"/>
          </w:tcPr>
          <w:p>
            <w:pPr>
              <w:pStyle w:val="TableHeading"/>
              <w:suppressLineNumbers/>
              <w:shd w:fill="EAEEF2" w:val="clear"/>
              <w:bidi w:val="0"/>
              <w:jc w:val="left"/>
              <w:rPr/>
            </w:pPr>
            <w:r>
              <w:rPr/>
              <w:t>WT gap duplex (bp)</w:t>
            </w:r>
          </w:p>
        </w:tc>
      </w:tr>
      <w:tr>
        <w:trPr/>
        <w:tc>
          <w:tcPr>
            <w:tcW w:w="1891"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19" w:type="dxa"/>
            <w:tcBorders/>
            <w:vAlign w:val="center"/>
          </w:tcPr>
          <w:p>
            <w:pPr>
              <w:pStyle w:val="TableContents"/>
              <w:widowControl w:val="false"/>
              <w:suppressLineNumbers/>
              <w:bidi w:val="0"/>
              <w:jc w:val="left"/>
              <w:rPr/>
            </w:pPr>
            <w:r>
              <w:rPr/>
              <w:t>5′-CAGGGCATATCATCAA-3′</w:t>
            </w:r>
          </w:p>
        </w:tc>
        <w:tc>
          <w:tcPr>
            <w:tcW w:w="2391" w:type="dxa"/>
            <w:tcBorders/>
            <w:vAlign w:val="center"/>
          </w:tcPr>
          <w:p>
            <w:pPr>
              <w:pStyle w:val="TableContents"/>
              <w:widowControl w:val="false"/>
              <w:suppressLineNumbers/>
              <w:bidi w:val="0"/>
              <w:jc w:val="left"/>
              <w:rPr/>
            </w:pPr>
            <w:r>
              <w:rPr/>
              <w:t>DO NOT ORDER</w:t>
            </w:r>
          </w:p>
        </w:tc>
        <w:tc>
          <w:tcPr>
            <w:tcW w:w="751" w:type="dxa"/>
            <w:tcBorders/>
            <w:vAlign w:val="center"/>
          </w:tcPr>
          <w:p>
            <w:pPr>
              <w:pStyle w:val="TableContents"/>
              <w:widowControl w:val="false"/>
              <w:suppressLineNumbers/>
              <w:bidi w:val="0"/>
              <w:jc w:val="left"/>
              <w:rPr/>
            </w:pPr>
            <w:r>
              <w:rPr/>
              <w:t>1</w:t>
            </w:r>
          </w:p>
        </w:tc>
        <w:tc>
          <w:tcPr>
            <w:tcW w:w="2014" w:type="dxa"/>
            <w:tcBorders/>
            <w:vAlign w:val="center"/>
          </w:tcPr>
          <w:p>
            <w:pPr>
              <w:pStyle w:val="TableContents"/>
              <w:widowControl w:val="false"/>
              <w:suppressLineNumbers/>
              <w:bidi w:val="0"/>
              <w:jc w:val="left"/>
              <w:rPr/>
            </w:pPr>
            <w:r>
              <w:rPr/>
              <w:t xml:space="preserve">11 bp, wild-type </w:t>
            </w:r>
            <w:r>
              <w:rPr>
                <w:rStyle w:val="Emphasis"/>
              </w:rPr>
              <w:t>NR4A3</w:t>
            </w:r>
          </w:p>
        </w:tc>
      </w:tr>
      <w:tr>
        <w:trPr/>
        <w:tc>
          <w:tcPr>
            <w:tcW w:w="1891"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19" w:type="dxa"/>
            <w:tcBorders/>
            <w:vAlign w:val="center"/>
          </w:tcPr>
          <w:p>
            <w:pPr>
              <w:pStyle w:val="TableContents"/>
              <w:widowControl w:val="false"/>
              <w:suppressLineNumbers/>
              <w:bidi w:val="0"/>
              <w:jc w:val="left"/>
              <w:rPr/>
            </w:pPr>
            <w:r>
              <w:rPr/>
              <w:t>5′-AGGGCATATCATCAAA-3′</w:t>
            </w:r>
          </w:p>
        </w:tc>
        <w:tc>
          <w:tcPr>
            <w:tcW w:w="2391" w:type="dxa"/>
            <w:tcBorders/>
            <w:vAlign w:val="center"/>
          </w:tcPr>
          <w:p>
            <w:pPr>
              <w:pStyle w:val="TableContents"/>
              <w:widowControl w:val="false"/>
              <w:suppressLineNumbers/>
              <w:bidi w:val="0"/>
              <w:jc w:val="left"/>
              <w:rPr/>
            </w:pPr>
            <w:r>
              <w:rPr/>
              <w:t>orderable (a single-base slide)</w:t>
            </w:r>
          </w:p>
        </w:tc>
        <w:tc>
          <w:tcPr>
            <w:tcW w:w="751" w:type="dxa"/>
            <w:tcBorders/>
            <w:vAlign w:val="center"/>
          </w:tcPr>
          <w:p>
            <w:pPr>
              <w:pStyle w:val="TableContents"/>
              <w:widowControl w:val="false"/>
              <w:suppressLineNumbers/>
              <w:bidi w:val="0"/>
              <w:jc w:val="left"/>
              <w:rPr/>
            </w:pPr>
            <w:r>
              <w:rPr/>
              <w:t>2</w:t>
            </w:r>
          </w:p>
        </w:tc>
        <w:tc>
          <w:tcPr>
            <w:tcW w:w="2014" w:type="dxa"/>
            <w:tcBorders/>
            <w:vAlign w:val="center"/>
          </w:tcPr>
          <w:p>
            <w:pPr>
              <w:pStyle w:val="TableContents"/>
              <w:widowControl w:val="false"/>
              <w:suppressLineNumbers/>
              <w:bidi w:val="0"/>
              <w:jc w:val="left"/>
              <w:rPr/>
            </w:pPr>
            <w:r>
              <w:rPr/>
              <w:t xml:space="preserve">7 bp, wild-type </w:t>
            </w:r>
            <w:r>
              <w:rPr>
                <w:rStyle w:val="Emphasis"/>
              </w:rPr>
              <w:t>TFG</w:t>
            </w:r>
          </w:p>
        </w:tc>
      </w:tr>
    </w:tbl>
    <w:p>
      <w:pPr>
        <w:pStyle w:val="Heading2"/>
        <w:bidi w:val="0"/>
        <w:jc w:val="left"/>
        <w:rPr/>
      </w:pPr>
      <w:r>
        <w:rPr/>
        <w:t>Figure legends</w:t>
      </w:r>
    </w:p>
    <w:p>
      <w:pPr>
        <w:pStyle w:val="BodyText"/>
        <w:bidi w:val="0"/>
        <w:rPr/>
      </w:pPr>
      <w:r>
        <w:rPr/>
        <w:drawing>
          <wp:inline distT="0" distB="0" distL="0" distR="0">
            <wp:extent cx="720090" cy="284988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720090" cy="2849880"/>
                    </a:xfrm>
                    <a:prstGeom prst="rect">
                      <a:avLst/>
                    </a:prstGeom>
                  </pic:spPr>
                </pic:pic>
              </a:graphicData>
            </a:graphic>
          </wp:inline>
        </w:drawing>
      </w:r>
      <w:r>
        <w:rPr/>
        <w:t xml:space="preserve"> </w:t>
      </w:r>
    </w:p>
    <w:p>
      <w:pPr>
        <w:pStyle w:val="BodyTextlegend"/>
        <w:bidi w:val="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w:t>
      </w:r>
    </w:p>
    <w:p>
      <w:pPr>
        <w:pStyle w:val="Heading2"/>
        <w:bidi w:val="0"/>
        <w:jc w:val="left"/>
        <w:rPr/>
      </w:pPr>
      <w:r>
        <w:rPr/>
        <w:t>Author Contributions</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 and for publication.</w:t>
      </w:r>
      <w:r>
        <w:rPr/>
        <w:t xml:space="preserve"> Not applicable. No participants were enrolled and the manuscript contains no data from any individual person.</w:t>
      </w:r>
    </w:p>
    <w:p>
      <w:pPr>
        <w:pStyle w:val="BodyText"/>
        <w:bidi w:val="0"/>
        <w:rPr/>
      </w:pPr>
      <w:r>
        <w:rPr>
          <w:rStyle w:val="Strong"/>
        </w:rPr>
        <w:t>Declaration of conflicting interest.</w:t>
      </w:r>
      <w:r>
        <w:rPr/>
        <w:t xml:space="preserve"> The author declares no financial competing interests: he holds no patent, patent application, equity or consultancy relating to any sequence or method described here. A non-financial interest is disclosed to the editor in the accompanying cover letter.</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6">
        <w:r>
          <w:rPr>
            <w:rStyle w:val="Hyperlink"/>
          </w:rPr>
          <w:t>doi:10.5281/zenodo.22061075</w:t>
        </w:r>
      </w:hyperlink>
      <w:r>
        <w:rPr/>
        <w:t xml:space="preserve">. The extended report, carrying every screen's parameters and the complete bounds on each claim, is </w:t>
      </w:r>
      <w:r>
        <w:rPr>
          <w:rStyle w:val="SourceText"/>
        </w:rPr>
        <w:t>fusion-junction-aso-research-article.pdf</w:t>
      </w:r>
      <w:r>
        <w:rPr/>
        <w:t xml:space="preserve"> inside that deposit; it is not posted as a preprint, so the archived copy is the citable one.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et al. (1995). Oncogenic conversion of a novel orphan nuclear receptor by chromosome translocation. Hum Mol Genet 4:2219–2226. </w:t>
      </w:r>
      <w:hyperlink r:id="rId7">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et al. (2021). Extraskeletal Myxoid Chondrosarcoma with Molecularly Confirmed Diagnosis: A Multicenter Retrospective Study Within the Italian Sarcoma Group. Ann Surg Oncol 28:1142–1150. </w:t>
      </w:r>
      <w:hyperlink r:id="rId8">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9">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et al. (2013). Anthracycline-based chemotherapy in extraskeletal myxoid chondrosarcoma: a retrospective study. Clin Sarcoma Res 3:16. </w:t>
      </w:r>
      <w:hyperlink r:id="rId10">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et al. (2019). Pazopanib for treatment of advanced extraskeletal myxoid chondrosarcoma: a multicentre, single-arm, phase 2 trial. Lancet Oncol 20:1252–1262. </w:t>
      </w:r>
      <w:hyperlink r:id="rId11">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12">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et al. (2020). RNAi technology targeting the FGFR3-TACC3 fusion breakpoint: an opportunity for precision medicine. Neurooncol Adv 2:vdaa132. </w:t>
      </w:r>
      <w:hyperlink r:id="rId13">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4">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et al. (2012). Highly specific targeting of the TMPRSS2/ERG fusion gene using liposomal nanovectors. Clin Cancer Res 18:6648–6657. </w:t>
      </w:r>
      <w:hyperlink r:id="rId15">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et al. (2024). GalNAc-conjugated siRNA targeting the DNAJB1-PRKACA fusion junction in fibrolamellar hepatocellular carcinoma. Mol Ther 32:140–151. </w:t>
      </w:r>
      <w:hyperlink r:id="rId16">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et al. (2002). Molecular genetic characterization of the EWS/CHN and RBP56/CHN fusion genes in extraskeletal myxoid chondrosarcoma. Genes Chromosomes Cancer 35:340–352. </w:t>
      </w:r>
      <w:hyperlink r:id="rId17">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et al. (2023). Extraskeletal Myxoid Chondrosarcomas: The Uncommon Clinicopathologic Manifestations and Significance of TAF15::NR4A3 Fusion. Mod Pathol 36:100161. </w:t>
      </w:r>
      <w:hyperlink r:id="rId18">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et al. (2019). NR4A3 fusion proteins trigger an axon guidance switch that marks the difference between EWSR1 and TAF15 translocated extraskeletal myxoid chondrosarcomas. J Pathol 249:90–101. </w:t>
      </w:r>
      <w:hyperlink r:id="rId19">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0">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et al. (2023). Reduction of Tumor Growth with RNA-Targeting Treatment of the NAB2-STAT6 Fusion Transcript in Solitary Fibrous Tumor Models. Cancers (Basel) 15:3127. </w:t>
      </w:r>
      <w:hyperlink r:id="rId21">
        <w:r>
          <w:rPr>
            <w:rStyle w:val="Hyperlink"/>
          </w:rPr>
          <w:t>doi:10.3390/cancers15123127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Lee MS, S An, JY Song, M Sung, K Jung, ES Chang, et al. (2023). Cancer-Specific Sequences in the Diagnosis and Treatment of NUT Carcinoma. Cancer Res Treat 55:452–467. </w:t>
      </w:r>
      <w:hyperlink r:id="rId22">
        <w:r>
          <w:rPr>
            <w:rStyle w:val="Hyperlink"/>
          </w:rPr>
          <w:t>doi:10.4143/crt.2022.910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Freire PR and OM Conneely. (2018). NR4A1 and NR4A3 restrict HSC proliferation via reciprocal regulation of C/EBPα and inflammatory signaling. Blood 131:1081–1093. </w:t>
      </w:r>
      <w:hyperlink r:id="rId23">
        <w:r>
          <w:rPr>
            <w:rStyle w:val="Hyperlink"/>
          </w:rPr>
          <w:t>doi:10.1182/blood-2017-07-795757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Beard JA, A Tenga and T Chen. (2015). The interplay of NR4A receptors and the oncogene-tumor suppressor networks in cancer. Cell Signal 27:257–266. </w:t>
      </w:r>
      <w:hyperlink r:id="rId24">
        <w:r>
          <w:rPr>
            <w:rStyle w:val="Hyperlink"/>
          </w:rPr>
          <w:t>doi:10.1016/j.cellsig.2014.11.009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Ramirez-Herrick AM, SE Mullican, AM Sheehan and OM Conneely. (2011). Reduced NR4A gene dosage leads to mixed myelodysplastic/myeloproliferative neoplasms in mice. Blood 117:2681–2690. </w:t>
      </w:r>
      <w:hyperlink r:id="rId25">
        <w:r>
          <w:rPr>
            <w:rStyle w:val="Hyperlink"/>
          </w:rPr>
          <w:t>doi:10.1182/blood-2010-02-267906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Hamers AA, RN Hanna, H Nowyhed, CC Hedrick and CJ de Vries. (2013). NR4A nuclear receptors in immunity and atherosclerosis. Curr Opin Lipidol 24:381–385. </w:t>
      </w:r>
      <w:hyperlink r:id="rId26">
        <w:r>
          <w:rPr>
            <w:rStyle w:val="Hyperlink"/>
          </w:rPr>
          <w:t>doi:10.1097/mol.0b013e3283643eac</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et al. (2025). Ensembl 2025. Nucleic Acids Res 53:D948–D957. </w:t>
      </w:r>
      <w:hyperlink r:id="rId27">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28">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160"/>
        <w:ind w:hanging="283" w:left="709"/>
        <w:rPr/>
      </w:pPr>
      <w:r>
        <w:rPr/>
        <w:t xml:space="preserve">Sugimoto N, S Nakano, M Katoh, et al. (1995). Thermodynamic parameters to predict stability of RNA/DNA hybrid duplexes. Biochemistry 34:11211–11216. </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pubmed.ncbi.nlm.nih.gov/31020999/" TargetMode="External"/><Relationship Id="rId4" Type="http://schemas.openxmlformats.org/officeDocument/2006/relationships/hyperlink" Target="https://pubmed.ncbi.nlm.nih.gov/36316541/" TargetMode="External"/><Relationship Id="rId5" Type="http://schemas.openxmlformats.org/officeDocument/2006/relationships/image" Target="media/image1.png"/><Relationship Id="rId6" Type="http://schemas.openxmlformats.org/officeDocument/2006/relationships/hyperlink" Target="https://doi.org/10.5281/zenodo.22061075" TargetMode="External"/><Relationship Id="rId7" Type="http://schemas.openxmlformats.org/officeDocument/2006/relationships/hyperlink" Target="https://doi.org/10.1093/hmg/4.12.2219" TargetMode="External"/><Relationship Id="rId8" Type="http://schemas.openxmlformats.org/officeDocument/2006/relationships/hyperlink" Target="https://doi.org/10.1245/s10434-020-08737-7" TargetMode="External"/><Relationship Id="rId9" Type="http://schemas.openxmlformats.org/officeDocument/2006/relationships/hyperlink" Target="https://doi.org/10.1007/s00432-025-06316-5" TargetMode="External"/><Relationship Id="rId10" Type="http://schemas.openxmlformats.org/officeDocument/2006/relationships/hyperlink" Target="https://doi.org/10.1186/2045-3329-3-16" TargetMode="External"/><Relationship Id="rId11" Type="http://schemas.openxmlformats.org/officeDocument/2006/relationships/hyperlink" Target="https://doi.org/10.1016/S1470-2045(19)30319-5" TargetMode="External"/><Relationship Id="rId12" Type="http://schemas.openxmlformats.org/officeDocument/2006/relationships/hyperlink" Target="https://doi.org/10.1023/a:1005716926800" TargetMode="External"/><Relationship Id="rId13" Type="http://schemas.openxmlformats.org/officeDocument/2006/relationships/hyperlink" Target="https://doi.org/10.1093/noajnl/vdaa132" TargetMode="External"/><Relationship Id="rId14" Type="http://schemas.openxmlformats.org/officeDocument/2006/relationships/hyperlink" Target="https://doi.org/10.1089/hum.2011.079" TargetMode="External"/><Relationship Id="rId15" Type="http://schemas.openxmlformats.org/officeDocument/2006/relationships/hyperlink" Target="https://doi.org/10.1158/1078-0432.ccr-12-2715" TargetMode="External"/><Relationship Id="rId16" Type="http://schemas.openxmlformats.org/officeDocument/2006/relationships/hyperlink" Target="https://doi.org/10.1016/j.ymthe.2023.11.012" TargetMode="External"/><Relationship Id="rId17" Type="http://schemas.openxmlformats.org/officeDocument/2006/relationships/hyperlink" Target="https://doi.org/10.1002/gcc.10127" TargetMode="External"/><Relationship Id="rId18" Type="http://schemas.openxmlformats.org/officeDocument/2006/relationships/hyperlink" Target="https://doi.org/10.1016/j.modpat.2023.100161" TargetMode="External"/><Relationship Id="rId19" Type="http://schemas.openxmlformats.org/officeDocument/2006/relationships/hyperlink" Target="https://doi.org/10.1002/path.5284" TargetMode="External"/><Relationship Id="rId20" Type="http://schemas.openxmlformats.org/officeDocument/2006/relationships/hyperlink" Target="https://doi.org/10.1007/s13577-022-00818-x" TargetMode="External"/><Relationship Id="rId21" Type="http://schemas.openxmlformats.org/officeDocument/2006/relationships/hyperlink" Target="https://doi.org/10.3390/cancers15123127" TargetMode="External"/><Relationship Id="rId22" Type="http://schemas.openxmlformats.org/officeDocument/2006/relationships/hyperlink" Target="https://doi.org/10.4143/crt.2022.910" TargetMode="External"/><Relationship Id="rId23" Type="http://schemas.openxmlformats.org/officeDocument/2006/relationships/hyperlink" Target="https://doi.org/10.1182/blood-2017-07-795757" TargetMode="External"/><Relationship Id="rId24" Type="http://schemas.openxmlformats.org/officeDocument/2006/relationships/hyperlink" Target="https://doi.org/10.1016/j.cellsig.2014.11.009" TargetMode="External"/><Relationship Id="rId25" Type="http://schemas.openxmlformats.org/officeDocument/2006/relationships/hyperlink" Target="https://doi.org/10.1182/blood-2010-02-267906" TargetMode="External"/><Relationship Id="rId26" Type="http://schemas.openxmlformats.org/officeDocument/2006/relationships/hyperlink" Target="https://doi.org/10.1097/mol.0b013e3283643eac" TargetMode="External"/><Relationship Id="rId27" Type="http://schemas.openxmlformats.org/officeDocument/2006/relationships/hyperlink" Target="https://doi.org/10.1093/nar/gkae1071" TargetMode="External"/><Relationship Id="rId28" Type="http://schemas.openxmlformats.org/officeDocument/2006/relationships/hyperlink" Target="https://doi.org/10.1016/j.ddtec.2005.08.012" TargetMode="Externa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