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1 · Background</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w:t>
      </w:r>
      <w:r>
        <w:rPr>
          <w:position w:val="7"/>
          <w:sz w:val="17"/>
        </w:rPr>
        <w:t>1</w:t>
      </w:r>
      <w:r>
        <w:rPr/>
        <w:t xml:space="preserve">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w:t>
      </w:r>
      <w:r>
        <w:rPr>
          <w:position w:val="7"/>
          <w:sz w:val="17"/>
        </w:rPr>
        <w:t>2</w:t>
      </w:r>
      <w:r>
        <w:rPr/>
        <w:t xml:space="preserve"> The disease responds poorly to conventional cytotoxic chemotherapy,</w:t>
      </w:r>
      <w:r>
        <w:rPr>
          <w:position w:val="7"/>
          <w:sz w:val="17"/>
        </w:rPr>
        <w:t>3</w:t>
      </w:r>
      <w:r>
        <w:rPr/>
        <w:t xml:space="preserve"> though responses do occur,</w:t>
      </w:r>
      <w:r>
        <w:rPr>
          <w:position w:val="7"/>
          <w:sz w:val="17"/>
        </w:rPr>
        <w:t>4</w:t>
      </w:r>
      <w:r>
        <w:rPr/>
        <w:t xml:space="preserve"> and a tyrosine-kinase inhibitor trialled in it gave disease control more often than response — a reading composed from the review's response categories</w:t>
      </w:r>
      <w:r>
        <w:rPr>
          <w:position w:val="7"/>
          <w:sz w:val="17"/>
        </w:rPr>
        <w:t>3</w:t>
      </w:r>
      <w:r>
        <w:rPr/>
        <w:t xml:space="preserve"> rather than from a figure stated in the trial report.</w:t>
      </w:r>
      <w:r>
        <w:rPr>
          <w:position w:val="7"/>
          <w:sz w:val="17"/>
        </w:rPr>
        <w:t>5</w:t>
      </w:r>
    </w:p>
    <w:p>
      <w:pPr>
        <w:pStyle w:val="BodyText"/>
        <w:bidi w:val="0"/>
        <w:rPr/>
      </w:pPr>
      <w:r>
        <w:rPr/>
        <w:t>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are a thirty-five-year lineage, reported against at least six fusion oncogenes: two as antisense oligonucleotides, the rest as RNA-interference agents, one of those from a lentiviral vector rather than an administered oligonucleotide.</w:t>
      </w:r>
      <w:r>
        <w:rPr>
          <w:position w:val="7"/>
          <w:sz w:val="17"/>
        </w:rPr>
        <w:t>6,7,8,9,10,11</w:t>
      </w:r>
      <w:r>
        <w:rPr/>
        <w:t xml:space="preserve">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RNase-H1 does not require the whole duplex, only that the gap be paired — a premise adopted here rather than established, and one whose length requirement is stated in a different unit from the criterion this paper screens on. The requirement is reported as a DNA gap of at least six nucleotides, with seven to ten the working range;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the one an industry working group's 2025 off-target recommendations report: off-target effects are seen more often where an oligonucleotide's mismatches fall in its wings than where they fall in its central gap, on which reading a flanking mismatch is suggested as the more important one to avoid.</w:t>
      </w:r>
      <w:r>
        <w:rPr>
          <w:position w:val="7"/>
          <w:sz w:val="17"/>
        </w:rPr>
        <w:t>22</w:t>
      </w:r>
      <w:r>
        <w:rPr/>
        <w:t xml:space="preserve">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§5 specifies, against the wild-type parent §3 identifies as the liability.</w:t>
      </w:r>
    </w:p>
    <w:p>
      <w:pPr>
        <w:pStyle w:val="Heading2"/>
        <w:bidi w:val="0"/>
        <w:jc w:val="left"/>
        <w:rPr/>
      </w:pPr>
      <w:r>
        <w:rPr/>
        <w:t>2 · 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§3's ten-base-pair criterion.</w:t>
      </w:r>
    </w:p>
    <w:p>
      <w:pPr>
        <w:pStyle w:val="BodyText"/>
        <w:bidi w:val="0"/>
        <w:rPr/>
      </w:pPr>
      <w:r>
        <w:rPr/>
        <w:t xml:space="preserve">Both sit close to it.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so the cut decides how they read: at eight both fall inside the class this work marks as not to be ordered, at nine the </w:t>
      </w:r>
      <w:r>
        <w:rPr>
          <w:rStyle w:val="Emphasis"/>
        </w:rPr>
        <w:t>TAF15</w:t>
      </w:r>
      <w:r>
        <w:rPr/>
        <w:t xml:space="preserve"> reagent alone does, and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the condemned class reaches these reagents: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to retain knockdown at more extensively mismatched sites than a conventional design does,</w:t>
      </w:r>
      <w:r>
        <w:rPr>
          <w:position w:val="7"/>
          <w:sz w:val="17"/>
        </w:rPr>
        <w:t>22</w:t>
      </w:r>
      <w:r>
        <w:rPr/>
        <w:t xml:space="preserve">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Discounted by the breakpoint distribution of an 18-case series,</w:t>
      </w:r>
      <w:r>
        <w:rPr>
          <w:position w:val="7"/>
          <w:sz w:val="17"/>
        </w:rPr>
        <w:t>12</w:t>
      </w:r>
      <w:r>
        <w:rPr/>
        <w:t xml:space="preserve"> the two junctions account for 68.4% of molecularly confirmed cases in a 58-case cohort.</w:t>
      </w:r>
      <w:r>
        <w:rPr>
          <w:position w:val="7"/>
          <w:sz w:val="17"/>
        </w:rPr>
        <w:t>13</w:t>
      </w:r>
      <w:r>
        <w:rPr/>
        <w:t xml:space="preserve">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on grounds the extended report sets out.</w:t>
      </w:r>
    </w:p>
    <w:p>
      <w:pPr>
        <w:pStyle w:val="Heading2"/>
        <w:bidi w:val="0"/>
        <w:jc w:val="left"/>
        <w:rPr/>
      </w:pPr>
      <w:r>
        <w:rPr/>
        <w:t>3 · Selection from a panel of 190 designs</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extended report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Two bounds on the cleanliness claim: seven of the 190 screens never returned, and the alignment screen censors the rest, leaving 47 of 183 assessable at all, so a count of clean designs is a floor over that subset and not a total over the panel; and most designs clean at the default search ceiling are not clean at a deeper one.</w:t>
      </w:r>
    </w:p>
    <w:p>
      <w:pPr>
        <w:pStyle w:val="BodyText"/>
        <w:bidi w:val="0"/>
        <w:rPr/>
      </w:pPr>
      <w:r>
        <w:rPr/>
        <w:t>The ten-base-pair criterion is adopted rather than measured, and the comparison against null models does not resolve an excess specific to this disease. What the screen does establish is structural rather than statistical, and it does not depend on the cut: each parent supplies about half of any junction design, which is far outside the mismatch budget of a conventional off-target search, so that search cannot return a parent as a near-match at any threshold it is normally run at. The liability is therefore invisible to the instrument a designer would ordinarily use, which is the case for screening it directly whatever cut is adopted. Mononucleotide scrambles — the weakest of the ten nulls screened, and not the dinucleotide-preserving control §5 prescribes — meet the parent screen at 6.2% against 45.8% for the panel, but chimeras built at real exon termini of the same two transcripts, at junctions almost never reported in a patient, meet it at 40.6%.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2"/>
        <w:bidi w:val="0"/>
        <w:jc w:val="left"/>
        <w:rPr/>
      </w:pPr>
      <w:r>
        <w:rPr/>
        <w:t>4 · 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all four annotated </w:t>
      </w:r>
      <w:r>
        <w:rPr>
          <w:rStyle w:val="Emphasis"/>
        </w:rPr>
        <w:t>NR4A3</w:t>
      </w:r>
      <w:r>
        <w:rPr/>
        <w:t xml:space="preserve"> transcripts, the three with a RefSeq accession included, exon 3 is the first coding exon and exon 2 is non-coding,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-rearranged tumours of a whole-transcriptome series,</w:t>
      </w:r>
      <w:r>
        <w:rPr>
          <w:position w:val="7"/>
          <w:sz w:val="17"/>
        </w:rPr>
        <w:t>23</w:t>
      </w:r>
      <w:r>
        <w:rPr/>
        <w:t xml:space="preserve"> and a </w:t>
      </w:r>
      <w:r>
        <w:rPr>
          <w:rStyle w:val="Emphasis"/>
        </w:rPr>
        <w:t>PGR</w:t>
      </w:r>
      <w:r>
        <w:rPr/>
        <w:t>::</w:t>
      </w:r>
      <w:r>
        <w:rPr>
          <w:rStyle w:val="Emphasis"/>
        </w:rPr>
        <w:t>NR4A3</w:t>
      </w:r>
      <w:r>
        <w:rPr/>
        <w:t xml:space="preserve"> case joins exon 2 to the </w:t>
      </w:r>
      <w:r>
        <w:rPr>
          <w:rStyle w:val="Emphasis"/>
        </w:rPr>
        <w:t>NR4A3</w:t>
      </w:r>
      <w:r>
        <w:rPr/>
        <w:t xml:space="preserve"> 5′ untranslated region.</w:t>
      </w:r>
      <w:r>
        <w:rPr>
          <w:position w:val="7"/>
          <w:sz w:val="17"/>
        </w:rPr>
        <w:t>16</w:t>
      </w:r>
      <w:r>
        <w:rPr/>
        <w:t xml:space="preserve"> Beyond exon 3 the position is the reverse: across the exon-resolved </w:t>
      </w:r>
      <w:r>
        <w:rPr>
          <w:rStyle w:val="Emphasis"/>
        </w:rPr>
        <w:t>NR4A3</w:t>
      </w:r>
      <w:r>
        <w:rPr/>
        <w:t xml:space="preserve"> junctions retrieved here every acceptor is exon 2, exon 3, or a cryptic exon in intron 2,</w:t>
      </w:r>
      <w:r>
        <w:rPr>
          <w:position w:val="7"/>
          <w:sz w:val="17"/>
        </w:rPr>
        <w:t>14</w:t>
      </w:r>
      <w:r>
        <w:rPr/>
        <w:t xml:space="preserve"> none 3′ of exon 3, so nothing is designed there because no patient is reported there.</w:t>
      </w:r>
    </w:p>
    <w:p>
      <w:pPr>
        <w:pStyle w:val="BodyText"/>
        <w:bidi w:val="0"/>
        <w:rPr/>
      </w:pPr>
      <w:r>
        <w:rPr/>
        <w:t>Three are engineered constructs from a published functional study,</w:t>
      </w:r>
      <w:r>
        <w:rPr>
          <w:position w:val="7"/>
          <w:sz w:val="17"/>
        </w:rPr>
        <w:t>14</w:t>
      </w:r>
      <w:r>
        <w:rPr/>
        <w:t xml:space="preserve">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The other two are patient-derived, identity-clean models reported with two EMC tumours,</w:t>
      </w:r>
      <w:r>
        <w:rPr>
          <w:position w:val="7"/>
          <w:sz w:val="17"/>
        </w:rPr>
        <w:t>15</w:t>
      </w:r>
      <w:r>
        <w:rPr/>
        <w:t xml:space="preserve">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One reading is nonetheless more parsimonious. EMC's defining lesion produces a chimeric transcription factor.</w:t>
      </w:r>
      <w:r>
        <w:rPr>
          <w:position w:val="7"/>
          <w:sz w:val="17"/>
        </w:rPr>
        <w:t>1,14</w:t>
      </w:r>
      <w:r>
        <w:rPr/>
        <w:t xml:space="preserve">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of §2,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 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§5's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w:t>
      </w:r>
      <w:r>
        <w:rPr>
          <w:position w:val="7"/>
          <w:sz w:val="17"/>
        </w:rPr>
        <w:t>3</w:t>
      </w:r>
    </w:p>
    <w:p>
      <w:pPr>
        <w:pStyle w:val="Heading2"/>
        <w:bidi w:val="0"/>
        <w:jc w:val="left"/>
        <w:rPr/>
      </w:pPr>
      <w:r>
        <w:rPr/>
        <w:t>5 · 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w:t>
      </w:r>
      <w:r>
        <w:rPr>
          <w:position w:val="7"/>
          <w:sz w:val="17"/>
        </w:rPr>
        <w:t>17</w:t>
      </w:r>
      <w:r>
        <w:rPr/>
        <w:t xml:space="preserve"> The extended report specifies it for these reagents, with three controls a knockdown assay alone cannot distinguish. Two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so an unscreened one carries a one-in-ten chance of being a second active molecule offered as a negative control. Clearing the screen is not a claim of inertness; it is the property a negative control has to have.</w:t>
      </w:r>
    </w:p>
    <w:p>
      <w:pPr>
        <w:pStyle w:val="BodyText"/>
        <w:bidi w:val="0"/>
        <w:rPr/>
      </w:pPr>
      <w:r>
        <w:rPr/>
        <w:t xml:space="preserve">Selectivity is the wild-type </w:t>
      </w:r>
      <w:r>
        <w:rPr>
          <w:rStyle w:val="Emphasis"/>
        </w:rPr>
        <w:t>NR4A3</w:t>
      </w:r>
      <w:r>
        <w:rPr/>
        <w:t xml:space="preserve"> half-maximal knockdown concentration divided by the fusion's, from a matched dose-response in the same wells, at a cut of 5.0 adopted as a convention — a comparison of the two half-maximal concentrations is the margin assessment the recommendations specify at this step, and they decline to set a default value for it.</w:t>
      </w:r>
      <w:r>
        <w:rPr>
          <w:position w:val="7"/>
          <w:sz w:val="17"/>
        </w:rPr>
        <w:t>22</w:t>
      </w:r>
      <w:r>
        <w:rPr/>
        <w:t xml:space="preserve"> At a replicate standard deviation of 0.35 on the natural-log scale,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2"/>
        <w:bidi w:val="0"/>
        <w:jc w:val="left"/>
        <w:rPr/>
      </w:pPr>
      <w:r>
        <w:rPr/>
        <w:t>6 · Discussion</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and the precursor arm on a hit at up to two mismatches with the gap fully paired, so neither restates the other, and their counts may not be added because a design condemned in both is one design. A third compartment is searched only in the extended report: the patient's own un-rearranged </w:t>
      </w:r>
      <w:r>
        <w:rPr>
          <w:rStyle w:val="Emphasis"/>
        </w:rPr>
        <w:t>NR4A3</w:t>
      </w:r>
      <w:r>
        <w:rPr/>
        <w:t xml:space="preserve"> allele, at a two-mismatch ceiling that bounds its class from below. No design this panel selects is condemned by it, but it excludes two registers of §4's </w:t>
      </w:r>
      <w:r>
        <w:rPr>
          <w:rStyle w:val="Emphasis"/>
        </w:rPr>
        <w:t>EWSR1</w:t>
      </w:r>
      <w:r>
        <w:rPr/>
        <w:t xml:space="preserve"> exon 13 to </w:t>
      </w:r>
      <w:r>
        <w:rPr>
          <w:rStyle w:val="Emphasis"/>
        </w:rPr>
        <w:t>NR4A3</w:t>
      </w:r>
      <w:r>
        <w:rPr/>
        <w:t xml:space="preserve"> exon-2 seam while clearing that reagent — the register hazard of §2 arriving from a compartment the panel's selection never has to consider.</w:t>
      </w:r>
    </w:p>
    <w:p>
      <w:pPr>
        <w:pStyle w:val="BodyText"/>
        <w:bidi w:val="0"/>
        <w:rPr/>
      </w:pPr>
      <w:r>
        <w:rPr/>
        <w:t>The four junction-specificity reports cited here</w:t>
      </w:r>
      <w:r>
        <w:rPr>
          <w:position w:val="7"/>
          <w:sz w:val="17"/>
        </w:rPr>
        <w:t>8,9,10,18</w:t>
      </w:r>
      <w:r>
        <w:rPr/>
        <w:t xml:space="preserve">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extended report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being long established; what is new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7 · Methods</w:t>
      </w:r>
    </w:p>
    <w:p>
      <w:pPr>
        <w:pStyle w:val="BodyText"/>
        <w:bidi w:val="0"/>
        <w:rPr/>
      </w:pPr>
      <w:r>
        <w:rPr/>
        <w:t>All analyses are computational and use public data; no laboratory work was performed. Full parameters, the complete bounds on each claim and the per-design tables are in the extended report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w:t>
      </w:r>
      <w:r>
        <w:rPr>
          <w:position w:val="7"/>
          <w:sz w:val="17"/>
        </w:rPr>
        <w:t>19</w:t>
      </w:r>
      <w:r>
        <w:rPr/>
        <w:t xml:space="preserve"> Junction-spanning 16-mer gapmers were tiled in a 5-6-5 β-D-oxy-locked-nucleic-acid/DNA/β-D-oxy-locked-nucleic-acid geometry,</w:t>
      </w:r>
      <w:r>
        <w:rPr>
          <w:position w:val="7"/>
          <w:sz w:val="17"/>
        </w:rPr>
        <w:t>20</w:t>
      </w:r>
      <w:r>
        <w:rPr/>
        <w:t xml:space="preserve">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an alignment screen against human RefSeq RNA, classifying each near-match by whether the catalytic gap is paired; an exhaustive transcript scan complete for substitutions within a one-mismatch budget; a screen of the parents' unspliced sequence; a mature-parent screen recording the longest contiguous duplex any of six wild-type parent transcripts forms through the catalytic gap; and a genome-wide screen over every position of GRCh38, mitochondrial sequence included. Between them they cover mature transcript, unspliced precursor, exon-exon junction, non-coding and mitochondrial sequence, which is the search scope the 2025 recommendations ask for.</w:t>
      </w:r>
      <w:r>
        <w:rPr>
          <w:position w:val="7"/>
          <w:sz w:val="17"/>
        </w:rPr>
        <w:t>22</w:t>
      </w:r>
      <w:r>
        <w:rPr/>
        <w:t xml:space="preserve"> A near-match is a transcript window pairing a design at 14 or more of its 16 positions. Each alignment was then re-scored on the nearest-neighbour stability of its longest contiguous paired run, the energy-based second stage those recommendations prescribe;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w:t>
      </w:r>
      <w:r>
        <w:rPr>
          <w:position w:val="7"/>
          <w:sz w:val="17"/>
        </w:rPr>
        <w:t>21</w:t>
      </w:r>
      <w:r>
        <w:rPr/>
        <w:t xml:space="preserve"> Those parameters do not describe a locked, phosphorothioate oligonucleotide, so no absolute melting point is reported; only the fusion-versus-parent separation, and as a floor, the fusion duplex pairing all ten locked residues to each parent half-duplex's five, by construction throughout.</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3">
        <w:r>
          <w:rPr>
            <w:rStyle w:val="Hyperlink"/>
          </w:rPr>
          <w:t>PMID: 31020999</w:t>
        </w:r>
      </w:hyperlink>
      <w:r>
        <w:rPr/>
        <w:t>); the two patient-derived models of Bangerter et al. (</w:t>
      </w:r>
      <w:hyperlink r:id="rId4">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It is a floor, by the method and for the reason given in Methods;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 The two reagents named for synthesis, with their parent-duplex label and their test article</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 The two control oligonucleotides, each screened as its reagent was</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284988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720090" cy="2849880"/>
                    </a:xfrm>
                    <a:prstGeom prst="rect">
                      <a:avLst/>
                    </a:prstGeom>
                  </pic:spPr>
                </pic:pic>
              </a:graphicData>
            </a:graphic>
          </wp:inline>
        </w:drawing>
      </w:r>
      <w:r>
        <w:rPr/>
        <w:t xml:space="preserve"> </w:t>
      </w:r>
    </w:p>
    <w:p>
      <w:pPr>
        <w:pStyle w:val="BodyTextlegend"/>
        <w:bidi w:val="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w:t>
      </w:r>
    </w:p>
    <w:p>
      <w:pPr>
        <w:pStyle w:val="Heading2"/>
        <w:bidi w:val="0"/>
        <w:jc w:val="left"/>
        <w:rPr/>
      </w:pPr>
      <w:r>
        <w:rPr/>
        <w:t>Author Contributions</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Declaration of conflicting interest.</w:t>
      </w:r>
      <w:r>
        <w:rPr/>
        <w:t xml:space="preserve"> The author declares no financial competing interests: he holds no patent, patent application, equity or consultancy relating to any sequence or method described here.</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6">
        <w:r>
          <w:rPr>
            <w:rStyle w:val="Hyperlink"/>
          </w:rPr>
          <w:t>doi:10.5281/zenodo.22061075</w:t>
        </w:r>
      </w:hyperlink>
      <w:r>
        <w:rPr/>
        <w:t xml:space="preserve">. The extended report, carrying every screen's parameters and the complete bounds on each claim, is </w:t>
      </w:r>
      <w:r>
        <w:rPr>
          <w:rStyle w:val="SourceText"/>
        </w:rPr>
        <w:t>fusion-junction-aso-research-article.pdf</w:t>
      </w:r>
      <w:r>
        <w:rPr/>
        <w:t xml:space="preserve"> inside that deposit; it is not posted as a preprint, so the archived copy is the citable one.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et al. (1995). Oncogenic conversion of a novel orphan nuclear receptor by chromosome translocation. Hum Mol Genet 4:2219–2226. </w:t>
      </w:r>
      <w:hyperlink r:id="rId7">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et al. (2021). Extraskeletal Myxoid Chondrosarcoma with Molecularly Confirmed Diagnosis: A Multicenter Retrospective Study Within the Italian Sarcoma Group. Ann Surg Oncol 28:1142–1150. </w:t>
      </w:r>
      <w:hyperlink r:id="rId8">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et al. (2025). From pathogenesis to the patient's bedside: a comprehensive review of extraskeletal myxoid chondrosarcoma. J Cancer Res Clin Oncol 151:283. </w:t>
      </w:r>
      <w:hyperlink r:id="rId9">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et al. (2013). Anthracycline-based chemotherapy in extraskeletal myxoid chondrosarcoma: a retrospective study. Clin Sarcoma Res 3:16. </w:t>
      </w:r>
      <w:hyperlink r:id="rId10">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et al. (2019). Pazopanib for treatment of advanced extraskeletal myxoid chondrosarcoma: a multicentre, single-arm, phase 2 trial. Lancet Oncol 20:1252–1262. </w:t>
      </w:r>
      <w:hyperlink r:id="rId11">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et al.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et al. (1997). Inhibition of EWS-FLI-1 fusion protein with antisense oligodeoxynucleotides. J Neurooncol 31:9–16. </w:t>
      </w:r>
      <w:hyperlink r:id="rId12">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et al. (2020). RNAi technology targeting the FGFR3-TACC3 fusion breakpoint: an opportunity for precision medicine. Neurooncol Adv 2:vdaa132. </w:t>
      </w:r>
      <w:hyperlink r:id="rId13">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4">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et al. (2012). Highly specific targeting of the TMPRSS2/ERG fusion gene using liposomal nanovectors. Clin Cancer Res 18:6648–6657. </w:t>
      </w:r>
      <w:hyperlink r:id="rId15">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et al. (2024). GalNAc-conjugated siRNA targeting the DNAJB1-PRKACA fusion junction in fibrolamellar hepatocellular carcinoma. Mol Ther 32:140–151. </w:t>
      </w:r>
      <w:hyperlink r:id="rId16">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et al. (2002). Molecular genetic characterization of the EWS/CHN and RBP56/CHN fusion genes in extraskeletal myxoid chondrosarcoma. Genes Chromosomes Cancer 35:340–352. </w:t>
      </w:r>
      <w:hyperlink r:id="rId17">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et al. (2023). Extraskeletal Myxoid Chondrosarcomas: The Uncommon Clinicopathologic Manifestations and Significance of TAF15::NR4A3 Fusion. Mod Pathol 36:100161. </w:t>
      </w:r>
      <w:hyperlink r:id="rId18">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et al. (2019). NR4A3 fusion proteins trigger an axon guidance switch that marks the difference between EWSR1 and TAF15 translocated extraskeletal myxoid chondrosarcomas. J Pathol 249:90–101. </w:t>
      </w:r>
      <w:hyperlink r:id="rId19">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et al. (2023). Establishment, characterization and functional testing of two novel ex vivo extraskeletal myxoid chondrosarcoma (EMC) cell models. Hum Cell 36:446–455. </w:t>
      </w:r>
      <w:hyperlink r:id="rId20">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et al.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et al. (2023). Reduction of Tumor Growth with RNA-Targeting Treatment of the NAB2-STAT6 Fusion Transcript in Solitary Fibrous Tumor Models. Cancers (Basel) 15:3127. </w:t>
      </w:r>
      <w:hyperlink r:id="rId22">
        <w:r>
          <w:rPr>
            <w:rStyle w:val="Hyperlink"/>
          </w:rPr>
          <w:t>doi:10.3390/cancers15123127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Lee MS, S An, JY Song, et al. (2023). Cancer-Specific Sequences in the Diagnosis and Treatment of NUT Carcinoma. Cancer Res Treat 55:452–467. </w:t>
      </w:r>
      <w:hyperlink r:id="rId23">
        <w:r>
          <w:rPr>
            <w:rStyle w:val="Hyperlink"/>
          </w:rPr>
          <w:t>doi:10.4143/crt.2022.910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et al. (2025). Ensembl 2025. Nucleic Acids Res 53:D948–D957. </w:t>
      </w:r>
      <w:hyperlink r:id="rId24">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2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et al. (1995). Thermodynamic parameters to predict stability of RNA/DNA hybrid duplexes. Biochemistry 34:11211–11216. </w:t>
      </w:r>
      <w:hyperlink r:id="rId26">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et al. (2025). Assessing Hybridization-Dependent Off-Target Risk for Therapeutic Oligonucleotides: Updated Industry Recommendations. Nucleic Acid Ther 35:16–33. </w:t>
      </w:r>
      <w:hyperlink r:id="rId27">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160"/>
        <w:ind w:hanging="283" w:left="709"/>
        <w:rPr/>
      </w:pPr>
      <w:r>
        <w:rPr/>
        <w:t xml:space="preserve">Urbini M, V Indio, A Astolfi, et al. (2018). Identification of an Actionable Mutation of KIT in a Case of Extraskeletal Myxoid Chondrosarcoma. International journal of molecular sciences 19:E1855. </w:t>
      </w:r>
      <w:hyperlink r:id="rId28">
        <w:r>
          <w:rPr>
            <w:rStyle w:val="Hyperlink"/>
          </w:rPr>
          <w:t>doi:10.3390/ijms19071855</w:t>
        </w:r>
      </w:hyperlink>
      <w:r>
        <w:rPr/>
        <w:t xml:space="preserve"> </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WenQuanYi Zen Hei" w:cs="Free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WenQuanYi Zen Hei" w:cs="Free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WenQuanYi Zen Hei" w:cs="Free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pubmed.ncbi.nlm.nih.gov/31020999/" TargetMode="External"/><Relationship Id="rId4" Type="http://schemas.openxmlformats.org/officeDocument/2006/relationships/hyperlink" Target="https://pubmed.ncbi.nlm.nih.gov/36316541/" TargetMode="External"/><Relationship Id="rId5" Type="http://schemas.openxmlformats.org/officeDocument/2006/relationships/image" Target="media/image1.png"/><Relationship Id="rId6" Type="http://schemas.openxmlformats.org/officeDocument/2006/relationships/hyperlink" Target="https://doi.org/10.5281/zenodo.22061075" TargetMode="External"/><Relationship Id="rId7" Type="http://schemas.openxmlformats.org/officeDocument/2006/relationships/hyperlink" Target="https://doi.org/10.1093/hmg/4.12.2219" TargetMode="External"/><Relationship Id="rId8" Type="http://schemas.openxmlformats.org/officeDocument/2006/relationships/hyperlink" Target="https://doi.org/10.1245/s10434-020-08737-7" TargetMode="External"/><Relationship Id="rId9" Type="http://schemas.openxmlformats.org/officeDocument/2006/relationships/hyperlink" Target="https://doi.org/10.1007/s00432-025-06316-5" TargetMode="External"/><Relationship Id="rId10" Type="http://schemas.openxmlformats.org/officeDocument/2006/relationships/hyperlink" Target="https://doi.org/10.1186/2045-3329-3-16" TargetMode="External"/><Relationship Id="rId11" Type="http://schemas.openxmlformats.org/officeDocument/2006/relationships/hyperlink" Target="https://doi.org/10.1016/S1470-2045(19)30319-5" TargetMode="External"/><Relationship Id="rId12" Type="http://schemas.openxmlformats.org/officeDocument/2006/relationships/hyperlink" Target="https://doi.org/10.1023/a:1005716926800" TargetMode="External"/><Relationship Id="rId13" Type="http://schemas.openxmlformats.org/officeDocument/2006/relationships/hyperlink" Target="https://doi.org/10.1093/noajnl/vdaa132" TargetMode="External"/><Relationship Id="rId14" Type="http://schemas.openxmlformats.org/officeDocument/2006/relationships/hyperlink" Target="https://doi.org/10.1089/hum.2011.079" TargetMode="External"/><Relationship Id="rId15" Type="http://schemas.openxmlformats.org/officeDocument/2006/relationships/hyperlink" Target="https://doi.org/10.1158/1078-0432.ccr-12-2715" TargetMode="External"/><Relationship Id="rId16" Type="http://schemas.openxmlformats.org/officeDocument/2006/relationships/hyperlink" Target="https://doi.org/10.1016/j.ymthe.2023.11.012" TargetMode="External"/><Relationship Id="rId17" Type="http://schemas.openxmlformats.org/officeDocument/2006/relationships/hyperlink" Target="https://doi.org/10.1002/gcc.10127" TargetMode="External"/><Relationship Id="rId18" Type="http://schemas.openxmlformats.org/officeDocument/2006/relationships/hyperlink" Target="https://doi.org/10.1016/j.modpat.2023.100161" TargetMode="External"/><Relationship Id="rId19" Type="http://schemas.openxmlformats.org/officeDocument/2006/relationships/hyperlink" Target="https://doi.org/10.1002/path.5284" TargetMode="External"/><Relationship Id="rId20" Type="http://schemas.openxmlformats.org/officeDocument/2006/relationships/hyperlink" Target="https://doi.org/10.1007/s13577-022-00818-x" TargetMode="External"/><Relationship Id="rId21" Type="http://schemas.openxmlformats.org/officeDocument/2006/relationships/hyperlink" Target="https://doi.org/10.1200/po.22.00039" TargetMode="External"/><Relationship Id="rId22" Type="http://schemas.openxmlformats.org/officeDocument/2006/relationships/hyperlink" Target="https://doi.org/10.3390/cancers15123127" TargetMode="External"/><Relationship Id="rId23" Type="http://schemas.openxmlformats.org/officeDocument/2006/relationships/hyperlink" Target="https://doi.org/10.4143/crt.2022.910" TargetMode="External"/><Relationship Id="rId24" Type="http://schemas.openxmlformats.org/officeDocument/2006/relationships/hyperlink" Target="https://doi.org/10.1093/nar/gkae1071" TargetMode="External"/><Relationship Id="rId25" Type="http://schemas.openxmlformats.org/officeDocument/2006/relationships/hyperlink" Target="https://doi.org/10.1016/j.ddtec.2005.08.012" TargetMode="External"/><Relationship Id="rId26" Type="http://schemas.openxmlformats.org/officeDocument/2006/relationships/hyperlink" Target="https://doi.org/10.1021/bi00035a029" TargetMode="External"/><Relationship Id="rId27" Type="http://schemas.openxmlformats.org/officeDocument/2006/relationships/hyperlink" Target="https://doi.org/10.1089/nat.2024.0072" TargetMode="External"/><Relationship Id="rId28" Type="http://schemas.openxmlformats.org/officeDocument/2006/relationships/hyperlink" Target="https://doi.org/10.3390/ijms19071855" TargetMode="Externa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