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gapmers in extraskeletal myxoid chondrosarcoma: 87 of 190 pair a wild-type parent through the gap at 10 bp</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Parent pairing in NR4A3 junction gapmers</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partner-gene fusion to </w:t>
      </w:r>
      <w:r>
        <w:rPr>
          <w:rStyle w:val="Emphasis"/>
        </w:rPr>
        <w:t>NR4A3</w:t>
      </w:r>
      <w:r>
        <w:rPr/>
        <w:t xml:space="preserve">. That junction is in no normal transcript, so an antisense gapmer could in principle cleave the fusion and spare its parents. This work is computational; every sequence named is a research reagent not for administration. Of 190 junction-spanning 16-mers tiled at 5-6-5 across the 38 in-frame junctions of five modelled partners, 87 let a mature wild-type parent transcript pair their whole catalytic gap over ten or more contiguous base pairs, 61 of those against wild-type </w:t>
      </w:r>
      <w:r>
        <w:rPr>
          <w:rStyle w:val="Emphasis"/>
        </w:rPr>
        <w:t>NR4A3</w:t>
      </w:r>
      <w:r>
        <w:rPr/>
        <w:t xml:space="preserve"> itself. Ten is a convention, not a measurement: exon-terminus chimeras of these transcripts meet the same screen at 40.6% against the panel's 45.8%, so most of that liability follows from joining exon termini, not this disease. Two reagents are named at the most reported breakpoints, 5′-GGGCATATCATCAAAC-3′ at </w:t>
      </w:r>
      <w:r>
        <w:rPr>
          <w:rStyle w:val="Emphasis"/>
        </w:rPr>
        <w:t>EWSR1</w:t>
      </w:r>
      <w:r>
        <w:rPr/>
        <w:t xml:space="preserve"> exon 12 and 5′-GGGCATATCTTGTGTG-3′ at </w:t>
      </w:r>
      <w:r>
        <w:rPr>
          <w:rStyle w:val="Emphasis"/>
        </w:rPr>
        <w:t>TAF15</w:t>
      </w:r>
      <w:r>
        <w:rPr/>
        <w:t xml:space="preserve"> exon 6 to </w:t>
      </w:r>
      <w:r>
        <w:rPr>
          <w:rStyle w:val="Emphasis"/>
        </w:rPr>
        <w:t>NR4A3</w:t>
      </w:r>
      <w:r>
        <w:rPr/>
        <w:t xml:space="preserve"> exon 3, both at the panel's top gap-level margin of three, longest wild-type parent gap duplexes eight and nine base pairs. Five test articles are named; the two fusion-positive EMC cell models are reported at an </w:t>
      </w:r>
      <w:r>
        <w:rPr>
          <w:rStyle w:val="Emphasis"/>
        </w:rPr>
        <w:t>NR4A3</w:t>
      </w:r>
      <w:r>
        <w:rPr/>
        <w:t xml:space="preserve"> exon-2 acceptor and match different designs. The design pipeline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(Table 2).</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w:t>
      </w:r>
    </w:p>
    <w:p>
      <w:pPr>
        <w:pStyle w:val="BodyText"/>
        <w:bidi w:val="0"/>
        <w:rPr/>
      </w:pPr>
      <w:r>
        <w:rPr/>
        <w:t>Lengthening the catalytic gap does not remove this liability, for a reason that is arithmetic rather than empirical: every base inside the gap comes from the donor or the acceptor exon, so a longer gap buys margin only by conceding parent-paired gap DNA at the design's own seam. Screened across three geometries the liable count does not fall, and at 5-10-5 the criterion is not independent of the geometry at 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Those cuts are whole-duplex run lengths, not the enzyme's own unit, so no cut on this ladder is the enzymology restated, and the availability the two named reagents rest on fails at a run cut of nine, where the </w:t>
      </w:r>
      <w:r>
        <w:rPr>
          <w:rStyle w:val="Emphasis"/>
        </w:rPr>
        <w:t>TAF15</w:t>
      </w:r>
      <w:r>
        <w:rPr/>
        <w:t xml:space="preserve"> junction's best design is itself liable. Read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the two cell models are reported at exon 2, so they carry a panel junction only under the exon-3 reading their acceptor index leaves open.</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but that acceptor index is not settled: the report carries no sequenced exon-exon boundary, no transcript accession and no junction sequence, and this work's own withdrawn version arose from an error of exactly this class. Reagents exist at both acceptors, and in neither case is it the same molecule as the reagent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16</w:t>
      </w:r>
      <w:r>
        <w:rPr/>
        <w:t xml:space="preserve"> The extended report specifies it for these reagents, with three controls a knockdown assay alone cannot distinguish. One belongs here because it constrains what may be ordered: the dinucleotide-preserving scramble must itself pass the mature-parent screen before synthesis, because 10.0% of dinucleotide-preserving scrambles pair a parent's whole catalytic gap at the ten-base-pair criterion and 3.9% do so against wild-type </w:t>
      </w:r>
      <w:r>
        <w:rPr>
          <w:rStyle w:val="Emphasis"/>
        </w:rPr>
        <w:t>NR4A3</w:t>
      </w:r>
      <w:r>
        <w:rPr/>
        <w:t>.</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Beyond the panel</w:t>
      </w:r>
    </w:p>
    <w:p>
      <w:pPr>
        <w:pStyle w:val="BodyText"/>
        <w:bidi w:val="0"/>
        <w:rPr/>
      </w:pPr>
      <w:r>
        <w:rPr/>
        <w:t>The panel is bounded by what has been sequenced rather than by what can be designed, and the procedure that produced the 190 designs is released unchanged with the artefacts. It is not a turnkey service for an arbitrary breakpoint: the builder's published-breakpoint list is a waiver list rather than a gate, admitting seams that would otherwise be refused for a non-coding acceptor or an out-of-frame join. A seam needing such a waiver requires the list to be extended first; a seam needing none is emitted without any check that a patient has been reported to carry it.</w:t>
      </w:r>
    </w:p>
    <w:p>
      <w:pPr>
        <w:pStyle w:val="BodyText"/>
        <w:bidi w:val="0"/>
        <w:rPr/>
      </w:pPr>
      <w:r>
        <w:rPr/>
        <w:t xml:space="preserve">A design is certifiable where all five screens could be run on it and it cleared all five; one that a screen cannot address is uncertifiable whatever the others return. The reagent for the third engineered construct of §4 is uncertifiable on that definition, its seam lying outside the compartment three of the five screens reach. The two that reach it — the precursor-RNA and genome arms — agree design by design, clearing the seam's top-margin design and condemning a lower-margin one at a wild-type </w:t>
      </w:r>
      <w:r>
        <w:rPr>
          <w:rStyle w:val="Emphasis"/>
        </w:rPr>
        <w:t>NR4A3</w:t>
      </w:r>
      <w:r>
        <w:rPr/>
        <w:t xml:space="preserve"> site each records as pairing the whole catalytic gap; two screens agreeing is not the clearance the other three would supply.</w:t>
      </w:r>
    </w:p>
    <w:p>
      <w:pPr>
        <w:pStyle w:val="Heading2"/>
        <w:bidi w:val="0"/>
        <w:jc w:val="left"/>
        <w:rPr/>
      </w:pPr>
      <w:r>
        <w:rPr/>
        <w:t>7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8,9,10,17</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w:t>
      </w:r>
      <w:r>
        <w:rPr>
          <w:rStyle w:val="Emphasis"/>
        </w:rPr>
        <w:t>NR4A1</w:t>
      </w:r>
      <w:r>
        <w:rPr/>
        <w:t xml:space="preserve"> and </w:t>
      </w:r>
      <w:r>
        <w:rPr>
          <w:rStyle w:val="Emphasis"/>
        </w:rPr>
        <w:t>NR4A3</w:t>
      </w:r>
      <w:r>
        <w:rPr/>
        <w:t xml:space="preserve"> are functionally redundant where tested,</w:t>
      </w:r>
      <w:r>
        <w:rPr>
          <w:position w:val="7"/>
          <w:sz w:val="17"/>
        </w:rPr>
        <w:t>18,19</w:t>
      </w:r>
      <w:r>
        <w:rPr/>
        <w:t xml:space="preserve"> which cuts against the premise; against that, reduced </w:t>
      </w:r>
      <w:r>
        <w:rPr>
          <w:rStyle w:val="Emphasis"/>
        </w:rPr>
        <w:t>NR4A1</w:t>
      </w:r>
      <w:r>
        <w:rPr/>
        <w:t>/</w:t>
      </w:r>
      <w:r>
        <w:rPr>
          <w:rStyle w:val="Emphasis"/>
        </w:rPr>
        <w:t>NR4A3</w:t>
      </w:r>
      <w:r>
        <w:rPr/>
        <w:t xml:space="preserve"> dosage is consequential in mice,</w:t>
      </w:r>
      <w:r>
        <w:rPr>
          <w:position w:val="7"/>
          <w:sz w:val="17"/>
        </w:rPr>
        <w:t>20</w:t>
      </w:r>
      <w:r>
        <w:rPr/>
        <w:t xml:space="preserve"> and the family is not uniform in direction, </w:t>
      </w:r>
      <w:r>
        <w:rPr>
          <w:rStyle w:val="Emphasis"/>
        </w:rPr>
        <w:t>NR4A3</w:t>
      </w:r>
      <w:r>
        <w:rPr/>
        <w:t xml:space="preserve"> aggravating murine atherosclerotic lesions where its paralogues attenuate them.</w:t>
      </w:r>
      <w:r>
        <w:rPr>
          <w:position w:val="7"/>
          <w:sz w:val="17"/>
        </w:rPr>
        <w:t>21</w:t>
      </w:r>
      <w:r>
        <w:rPr/>
        <w:t xml:space="preserve"> The evidence is not decisive either way.</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8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22</w:t>
      </w:r>
      <w:r>
        <w:rPr/>
        <w:t xml:space="preserve"> Junction-spanning 16-mer gapmers were tiled in a 5-6-5 β-D-oxy-locked-nucleic-acid/DNA/β-D-oxy-locked-nucleic-acid geometry,</w:t>
      </w:r>
      <w:r>
        <w:rPr>
          <w:position w:val="7"/>
          <w:sz w:val="17"/>
        </w:rPr>
        <w:t>23</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A near-match is a transcript window pairing a design at 14 or more of its 16 positions.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2013"/>
        <w:gridCol w:w="2833"/>
        <w:gridCol w:w="751"/>
        <w:gridCol w:w="1849"/>
        <w:gridCol w:w="2420"/>
      </w:tblGrid>
      <w:tr>
        <w:trPr>
          <w:tblHeader w:val="true"/>
        </w:trPr>
        <w:tc>
          <w:tcPr>
            <w:tcW w:w="9866" w:type="dxa"/>
            <w:gridSpan w:val="5"/>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2013" w:type="dxa"/>
            <w:tcBorders/>
            <w:vAlign w:val="center"/>
          </w:tcPr>
          <w:p>
            <w:pPr>
              <w:pStyle w:val="TableHeading"/>
              <w:suppressLineNumbers/>
              <w:shd w:fill="EAEEF2" w:val="clear"/>
              <w:bidi w:val="0"/>
              <w:jc w:val="left"/>
              <w:rPr/>
            </w:pPr>
            <w:r>
              <w:rPr/>
              <w:t>seam</w:t>
            </w:r>
          </w:p>
        </w:tc>
        <w:tc>
          <w:tcPr>
            <w:tcW w:w="2833"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49" w:type="dxa"/>
            <w:tcBorders/>
            <w:vAlign w:val="center"/>
          </w:tcPr>
          <w:p>
            <w:pPr>
              <w:pStyle w:val="TableHeading"/>
              <w:suppressLineNumbers/>
              <w:shd w:fill="EAEEF2" w:val="clear"/>
              <w:bidi w:val="0"/>
              <w:jc w:val="left"/>
              <w:rPr/>
            </w:pPr>
            <w:r>
              <w:rPr/>
              <w:t>WT gap duplex (bp)</w:t>
            </w:r>
          </w:p>
        </w:tc>
        <w:tc>
          <w:tcPr>
            <w:tcW w:w="2420" w:type="dxa"/>
            <w:tcBorders/>
            <w:vAlign w:val="center"/>
          </w:tcPr>
          <w:p>
            <w:pPr>
              <w:pStyle w:val="TableHeading"/>
              <w:suppressLineNumbers/>
              <w:shd w:fill="EAEEF2" w:val="clear"/>
              <w:bidi w:val="0"/>
              <w:jc w:val="left"/>
              <w:rPr/>
            </w:pPr>
            <w:r>
              <w:rPr/>
              <w:t>test article</w:t>
            </w:r>
          </w:p>
        </w:tc>
      </w:tr>
      <w:tr>
        <w:trPr/>
        <w:tc>
          <w:tcPr>
            <w:tcW w:w="2013"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3"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49" w:type="dxa"/>
            <w:tcBorders/>
            <w:vAlign w:val="center"/>
          </w:tcPr>
          <w:p>
            <w:pPr>
              <w:pStyle w:val="TableContents"/>
              <w:widowControl w:val="false"/>
              <w:suppressLineNumbers/>
              <w:bidi w:val="0"/>
              <w:jc w:val="left"/>
              <w:rPr/>
            </w:pPr>
            <w:r>
              <w:rPr/>
              <w:t xml:space="preserve">8 bp, wild-type </w:t>
            </w:r>
            <w:r>
              <w:rPr>
                <w:rStyle w:val="Emphasis"/>
              </w:rPr>
              <w:t>TFG</w:t>
            </w:r>
          </w:p>
        </w:tc>
        <w:tc>
          <w:tcPr>
            <w:tcW w:w="2420" w:type="dxa"/>
            <w:tcBorders/>
            <w:vAlign w:val="center"/>
          </w:tcPr>
          <w:p>
            <w:pPr>
              <w:pStyle w:val="TableContents"/>
              <w:widowControl w:val="false"/>
              <w:suppressLineNumbers/>
              <w:bidi w:val="0"/>
              <w:jc w:val="left"/>
              <w:rPr/>
            </w:pPr>
            <w:r>
              <w:rPr/>
              <w:t>E-N, engineered construct</w:t>
            </w:r>
          </w:p>
        </w:tc>
      </w:tr>
      <w:tr>
        <w:trPr/>
        <w:tc>
          <w:tcPr>
            <w:tcW w:w="2013"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3"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49" w:type="dxa"/>
            <w:tcBorders/>
            <w:vAlign w:val="center"/>
          </w:tcPr>
          <w:p>
            <w:pPr>
              <w:pStyle w:val="TableContents"/>
              <w:widowControl w:val="false"/>
              <w:suppressLineNumbers/>
              <w:bidi w:val="0"/>
              <w:jc w:val="left"/>
              <w:rPr/>
            </w:pPr>
            <w:r>
              <w:rPr/>
              <w:t xml:space="preserve">9 bp, wild-type </w:t>
            </w:r>
            <w:r>
              <w:rPr>
                <w:rStyle w:val="Emphasis"/>
              </w:rPr>
              <w:t>TFG</w:t>
            </w:r>
          </w:p>
        </w:tc>
        <w:tc>
          <w:tcPr>
            <w:tcW w:w="2420"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Two near-identical designs at one seam, one orderable and one not.</w:t>
      </w:r>
      <w:r>
        <w:rPr/>
        <w:t xml:space="preserve"> Each pair is two consecutive registers of one seam differing by a single-base slide, and the two members carry opposite verdicts: the condemned member pairs its whole catalytic gap against a wild-type parent at the ten-base-pair criterion and the orderable member does not. The condemned class reaches the reagents this paper names for synthesis: 5′-AGGGCATATCTTGTGT-3′ is one single-base slide from 5′-GGGCATATCTTGTGTG-3′ and pairs 11 bp of wild-type </w:t>
      </w:r>
      <w:r>
        <w:rPr>
          <w:rStyle w:val="Emphasis"/>
        </w:rPr>
        <w:t>NR4A3</w:t>
      </w:r>
      <w:r>
        <w:rPr/>
        <w:t xml:space="preserve"> through its whole catalytic gap. Neither may be substituted for the other, and neither is named for synthesis. The pairing is read from the canonical file's own cross-reference column.</w:t>
      </w:r>
    </w:p>
    <w:tbl>
      <w:tblPr>
        <w:tblW w:w="9866" w:type="dxa"/>
        <w:jc w:val="left"/>
        <w:tblInd w:w="0" w:type="dxa"/>
        <w:tblLayout w:type="fixed"/>
        <w:tblCellMar>
          <w:top w:w="28" w:type="dxa"/>
          <w:left w:w="28" w:type="dxa"/>
          <w:bottom w:w="28" w:type="dxa"/>
          <w:right w:w="28" w:type="dxa"/>
        </w:tblCellMar>
      </w:tblPr>
      <w:tblGrid>
        <w:gridCol w:w="1891"/>
        <w:gridCol w:w="2819"/>
        <w:gridCol w:w="2391"/>
        <w:gridCol w:w="751"/>
        <w:gridCol w:w="2014"/>
      </w:tblGrid>
      <w:tr>
        <w:trPr>
          <w:tblHeader w:val="true"/>
        </w:trPr>
        <w:tc>
          <w:tcPr>
            <w:tcW w:w="9866" w:type="dxa"/>
            <w:gridSpan w:val="5"/>
            <w:tcBorders/>
            <w:vAlign w:val="center"/>
          </w:tcPr>
          <w:p>
            <w:pPr>
              <w:pStyle w:val="TableHeading"/>
              <w:suppressLineNumbers/>
              <w:shd w:fill="EAEEF2" w:val="clear"/>
              <w:bidi w:val="0"/>
              <w:jc w:val="left"/>
              <w:rPr/>
            </w:pPr>
            <w:r>
              <w:rPr/>
              <w:t>Table 2. Two near-identical designs at one seam, one orderable and one not</w:t>
            </w:r>
          </w:p>
        </w:tc>
      </w:tr>
      <w:tr>
        <w:trPr>
          <w:tblHeader w:val="true"/>
        </w:trPr>
        <w:tc>
          <w:tcPr>
            <w:tcW w:w="1891" w:type="dxa"/>
            <w:tcBorders/>
            <w:vAlign w:val="center"/>
          </w:tcPr>
          <w:p>
            <w:pPr>
              <w:pStyle w:val="TableHeading"/>
              <w:suppressLineNumbers/>
              <w:shd w:fill="EAEEF2" w:val="clear"/>
              <w:bidi w:val="0"/>
              <w:jc w:val="left"/>
              <w:rPr/>
            </w:pPr>
            <w:r>
              <w:rPr/>
              <w:t>seam</w:t>
            </w:r>
          </w:p>
        </w:tc>
        <w:tc>
          <w:tcPr>
            <w:tcW w:w="2819" w:type="dxa"/>
            <w:tcBorders/>
            <w:vAlign w:val="center"/>
          </w:tcPr>
          <w:p>
            <w:pPr>
              <w:pStyle w:val="TableHeading"/>
              <w:suppressLineNumbers/>
              <w:shd w:fill="EAEEF2" w:val="clear"/>
              <w:bidi w:val="0"/>
              <w:jc w:val="left"/>
              <w:rPr/>
            </w:pPr>
            <w:r>
              <w:rPr/>
              <w:t>design</w:t>
            </w:r>
          </w:p>
        </w:tc>
        <w:tc>
          <w:tcPr>
            <w:tcW w:w="2391" w:type="dxa"/>
            <w:tcBorders/>
            <w:vAlign w:val="center"/>
          </w:tcPr>
          <w:p>
            <w:pPr>
              <w:pStyle w:val="TableHeading"/>
              <w:suppressLineNumbers/>
              <w:shd w:fill="EAEEF2" w:val="clear"/>
              <w:bidi w:val="0"/>
              <w:jc w:val="left"/>
              <w:rPr/>
            </w:pPr>
            <w:r>
              <w:rPr/>
              <w:t>verdict</w:t>
            </w:r>
          </w:p>
        </w:tc>
        <w:tc>
          <w:tcPr>
            <w:tcW w:w="751" w:type="dxa"/>
            <w:tcBorders/>
            <w:vAlign w:val="center"/>
          </w:tcPr>
          <w:p>
            <w:pPr>
              <w:pStyle w:val="TableHeading"/>
              <w:suppressLineNumbers/>
              <w:shd w:fill="EAEEF2" w:val="clear"/>
              <w:bidi w:val="0"/>
              <w:jc w:val="left"/>
              <w:rPr/>
            </w:pPr>
            <w:r>
              <w:rPr/>
              <w:t>margin</w:t>
            </w:r>
          </w:p>
        </w:tc>
        <w:tc>
          <w:tcPr>
            <w:tcW w:w="2014" w:type="dxa"/>
            <w:tcBorders/>
            <w:vAlign w:val="center"/>
          </w:tcPr>
          <w:p>
            <w:pPr>
              <w:pStyle w:val="TableHeading"/>
              <w:suppressLineNumbers/>
              <w:shd w:fill="EAEEF2" w:val="clear"/>
              <w:bidi w:val="0"/>
              <w:jc w:val="left"/>
              <w:rPr/>
            </w:pPr>
            <w:r>
              <w:rPr/>
              <w:t>WT gap duplex (bp)</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5′-CAGGGCATATCATCAA-3′</w:t>
            </w:r>
          </w:p>
        </w:tc>
        <w:tc>
          <w:tcPr>
            <w:tcW w:w="2391" w:type="dxa"/>
            <w:tcBorders/>
            <w:vAlign w:val="center"/>
          </w:tcPr>
          <w:p>
            <w:pPr>
              <w:pStyle w:val="TableContents"/>
              <w:widowControl w:val="false"/>
              <w:suppressLineNumbers/>
              <w:bidi w:val="0"/>
              <w:jc w:val="left"/>
              <w:rPr/>
            </w:pPr>
            <w:r>
              <w:rPr/>
              <w:t>DO NOT ORDER</w:t>
            </w:r>
          </w:p>
        </w:tc>
        <w:tc>
          <w:tcPr>
            <w:tcW w:w="751" w:type="dxa"/>
            <w:tcBorders/>
            <w:vAlign w:val="center"/>
          </w:tcPr>
          <w:p>
            <w:pPr>
              <w:pStyle w:val="TableContents"/>
              <w:widowControl w:val="false"/>
              <w:suppressLineNumbers/>
              <w:bidi w:val="0"/>
              <w:jc w:val="left"/>
              <w:rPr/>
            </w:pPr>
            <w:r>
              <w:rPr/>
              <w:t>1</w:t>
            </w:r>
          </w:p>
        </w:tc>
        <w:tc>
          <w:tcPr>
            <w:tcW w:w="2014" w:type="dxa"/>
            <w:tcBorders/>
            <w:vAlign w:val="center"/>
          </w:tcPr>
          <w:p>
            <w:pPr>
              <w:pStyle w:val="TableContents"/>
              <w:widowControl w:val="false"/>
              <w:suppressLineNumbers/>
              <w:bidi w:val="0"/>
              <w:jc w:val="left"/>
              <w:rPr/>
            </w:pPr>
            <w:r>
              <w:rPr/>
              <w:t xml:space="preserve">11 bp, wild-type </w:t>
            </w:r>
            <w:r>
              <w:rPr>
                <w:rStyle w:val="Emphasis"/>
              </w:rPr>
              <w:t>NR4A3</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5′-AGGGCATATCATCAAA-3′</w:t>
            </w:r>
          </w:p>
        </w:tc>
        <w:tc>
          <w:tcPr>
            <w:tcW w:w="2391" w:type="dxa"/>
            <w:tcBorders/>
            <w:vAlign w:val="center"/>
          </w:tcPr>
          <w:p>
            <w:pPr>
              <w:pStyle w:val="TableContents"/>
              <w:widowControl w:val="false"/>
              <w:suppressLineNumbers/>
              <w:bidi w:val="0"/>
              <w:jc w:val="left"/>
              <w:rPr/>
            </w:pPr>
            <w:r>
              <w:rPr/>
              <w:t>orderable (a single-base slide)</w:t>
            </w:r>
          </w:p>
        </w:tc>
        <w:tc>
          <w:tcPr>
            <w:tcW w:w="751" w:type="dxa"/>
            <w:tcBorders/>
            <w:vAlign w:val="center"/>
          </w:tcPr>
          <w:p>
            <w:pPr>
              <w:pStyle w:val="TableContents"/>
              <w:widowControl w:val="false"/>
              <w:suppressLineNumbers/>
              <w:bidi w:val="0"/>
              <w:jc w:val="left"/>
              <w:rPr/>
            </w:pPr>
            <w:r>
              <w:rPr/>
              <w:t>2</w:t>
            </w:r>
          </w:p>
        </w:tc>
        <w:tc>
          <w:tcPr>
            <w:tcW w:w="2014" w:type="dxa"/>
            <w:tcBorders/>
            <w:vAlign w:val="center"/>
          </w:tcPr>
          <w:p>
            <w:pPr>
              <w:pStyle w:val="TableContents"/>
              <w:widowControl w:val="false"/>
              <w:suppressLineNumbers/>
              <w:bidi w:val="0"/>
              <w:jc w:val="left"/>
              <w:rPr/>
            </w:pPr>
            <w:r>
              <w:rPr/>
              <w:t xml:space="preserve">7 bp, wild-type </w:t>
            </w:r>
            <w:r>
              <w:rPr>
                <w:rStyle w:val="Emphasis"/>
              </w:rPr>
              <w:t>TFG</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 One non-financial interest is declared: the author is a survivor of extraskeletal myxoid chondrosarcoma, the disease this work addresses.</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et al. (1995). Oncogenic conversion of a novel orphan nuclear receptor by chromosome translocation. Hum Mol Genet 4:2219–2226. </w:t>
      </w:r>
      <w:hyperlink r:id="rId7">
        <w:r>
          <w:rPr>
            <w:rStyle w:val="Hyperlink"/>
          </w:rPr>
          <w:t>PMID: 8634690</w:t>
        </w:r>
      </w:hyperlink>
      <w:r>
        <w:rPr/>
        <w:t xml:space="preserve">. </w:t>
      </w:r>
      <w:hyperlink r:id="rId8">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et al. (2021). Extraskeletal Myxoid Chondrosarcoma with Molecularly Confirmed Diagnosis: A Multicenter Retrospective Study Within the Italian Sarcoma Group. Ann Surg Oncol 28:1142–1150. </w:t>
      </w:r>
      <w:hyperlink r:id="rId9">
        <w:r>
          <w:rPr>
            <w:rStyle w:val="Hyperlink"/>
          </w:rPr>
          <w:t>PMID: 32572850</w:t>
        </w:r>
      </w:hyperlink>
      <w:r>
        <w:rPr/>
        <w:t xml:space="preserve">. </w:t>
      </w:r>
      <w:hyperlink r:id="rId10">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11">
        <w:r>
          <w:rPr>
            <w:rStyle w:val="Hyperlink"/>
          </w:rPr>
          <w:t>PMID: 41055792</w:t>
        </w:r>
      </w:hyperlink>
      <w:r>
        <w:rPr/>
        <w:t xml:space="preserve">. </w:t>
      </w:r>
      <w:hyperlink r:id="rId12">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et al. (2013). Anthracycline-based chemotherapy in extraskeletal myxoid chondrosarcoma: a retrospective study. Clin Sarcoma Res 3:16. </w:t>
      </w:r>
      <w:hyperlink r:id="rId13">
        <w:r>
          <w:rPr>
            <w:rStyle w:val="Hyperlink"/>
          </w:rPr>
          <w:t>PMID: 24345066</w:t>
        </w:r>
      </w:hyperlink>
      <w:r>
        <w:rPr/>
        <w:t xml:space="preserve">. </w:t>
      </w:r>
      <w:hyperlink r:id="rId14">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et al. (2019). Pazopanib for treatment of advanced extraskeletal myxoid chondrosarcoma: a multicentre, single-arm, phase 2 trial. Lancet Oncol 20:1252–1262. </w:t>
      </w:r>
      <w:hyperlink r:id="rId15">
        <w:r>
          <w:rPr>
            <w:rStyle w:val="Hyperlink"/>
          </w:rPr>
          <w:t>PMID: 31331701</w:t>
        </w:r>
      </w:hyperlink>
      <w:r>
        <w:rPr/>
        <w:t xml:space="preserve">. </w:t>
      </w:r>
      <w:hyperlink r:id="rId16">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hyperlink r:id="rId17">
        <w:r>
          <w:rPr>
            <w:rStyle w:val="Hyperlink"/>
          </w:rPr>
          <w:t>PMID: 1794439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8">
        <w:r>
          <w:rPr>
            <w:rStyle w:val="Hyperlink"/>
          </w:rPr>
          <w:t>PMID: 9049825</w:t>
        </w:r>
      </w:hyperlink>
      <w:r>
        <w:rPr/>
        <w:t xml:space="preserve">. </w:t>
      </w:r>
      <w:hyperlink r:id="rId1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et al. (2020). RNAi technology targeting the FGFR3-TACC3 fusion breakpoint: an opportunity for precision medicine. Neurooncol Adv 2:vdaa132. </w:t>
      </w:r>
      <w:hyperlink r:id="rId20">
        <w:r>
          <w:rPr>
            <w:rStyle w:val="Hyperlink"/>
          </w:rPr>
          <w:t>PMID: 33241214</w:t>
        </w:r>
      </w:hyperlink>
      <w:r>
        <w:rPr/>
        <w:t xml:space="preserve">. </w:t>
      </w:r>
      <w:hyperlink r:id="rId2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22">
        <w:r>
          <w:rPr>
            <w:rStyle w:val="Hyperlink"/>
          </w:rPr>
          <w:t>PMID: 21846246</w:t>
        </w:r>
      </w:hyperlink>
      <w:r>
        <w:rPr/>
        <w:t xml:space="preserve">. </w:t>
      </w:r>
      <w:hyperlink r:id="rId23">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et al. (2012). Highly specific targeting of the TMPRSS2/ERG fusion gene using liposomal nanovectors. Clin Cancer Res 18:6648–6657. </w:t>
      </w:r>
      <w:hyperlink r:id="rId24">
        <w:r>
          <w:rPr>
            <w:rStyle w:val="Hyperlink"/>
          </w:rPr>
          <w:t>PMID: 23052253</w:t>
        </w:r>
      </w:hyperlink>
      <w:r>
        <w:rPr/>
        <w:t xml:space="preserve">. </w:t>
      </w:r>
      <w:hyperlink r:id="rId2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et al. (2024). GalNAc-conjugated siRNA targeting the DNAJB1-PRKACA fusion junction in fibrolamellar hepatocellular carcinoma. Mol Ther 32:140–151. </w:t>
      </w:r>
      <w:hyperlink r:id="rId26">
        <w:r>
          <w:rPr>
            <w:rStyle w:val="Hyperlink"/>
          </w:rPr>
          <w:t>PMID: 37980543</w:t>
        </w:r>
      </w:hyperlink>
      <w:r>
        <w:rPr/>
        <w:t xml:space="preserve">. </w:t>
      </w:r>
      <w:hyperlink r:id="rId27">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et al. (2002). Molecular genetic characterization of the EWS/CHN and RBP56/CHN fusion genes in extraskeletal myxoid chondrosarcoma. Genes Chromosomes Cancer 35:340–352. </w:t>
      </w:r>
      <w:hyperlink r:id="rId28">
        <w:r>
          <w:rPr>
            <w:rStyle w:val="Hyperlink"/>
          </w:rPr>
          <w:t>PMID: 12378528</w:t>
        </w:r>
      </w:hyperlink>
      <w:r>
        <w:rPr/>
        <w:t xml:space="preserve">. </w:t>
      </w:r>
      <w:hyperlink r:id="rId2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et al. (2023). Extraskeletal Myxoid Chondrosarcomas: The Uncommon Clinicopathologic Manifestations and Significance of TAF15::NR4A3 Fusion. Mod Pathol 36:100161. </w:t>
      </w:r>
      <w:hyperlink r:id="rId30">
        <w:r>
          <w:rPr>
            <w:rStyle w:val="Hyperlink"/>
          </w:rPr>
          <w:t>PMID: 36948401</w:t>
        </w:r>
      </w:hyperlink>
      <w:r>
        <w:rPr/>
        <w:t xml:space="preserve">. </w:t>
      </w:r>
      <w:hyperlink r:id="rId31">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et al. (2019). NR4A3 fusion proteins trigger an axon guidance switch that marks the difference between EWSR1 and TAF15 translocated extraskeletal myxoid chondrosarcomas. J Pathol 249:90–101. </w:t>
      </w:r>
      <w:hyperlink r:id="rId32">
        <w:r>
          <w:rPr>
            <w:rStyle w:val="Hyperlink"/>
          </w:rPr>
          <w:t>PMID: 31020999</w:t>
        </w:r>
      </w:hyperlink>
      <w:r>
        <w:rPr/>
        <w:t xml:space="preserve">. </w:t>
      </w:r>
      <w:hyperlink r:id="rId3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34">
        <w:r>
          <w:rPr>
            <w:rStyle w:val="Hyperlink"/>
          </w:rPr>
          <w:t>PMID: 36316541</w:t>
        </w:r>
      </w:hyperlink>
      <w:r>
        <w:rPr/>
        <w:t xml:space="preserve">. </w:t>
      </w:r>
      <w:hyperlink r:id="rId35">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et al. (2023). Reduction of Tumor Growth with RNA-Targeting Treatment of the NAB2-STAT6 Fusion Transcript in Solitary Fibrous Tumor Models. Cancers (Basel) 15:3127. </w:t>
      </w:r>
      <w:hyperlink r:id="rId36">
        <w:r>
          <w:rPr>
            <w:rStyle w:val="Hyperlink"/>
          </w:rPr>
          <w:t>PMID: 37370737</w:t>
        </w:r>
      </w:hyperlink>
      <w:r>
        <w:rPr/>
        <w:t xml:space="preserve">. </w:t>
      </w:r>
      <w:hyperlink r:id="rId37">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et al. (2023). Cancer-Specific Sequences in the Diagnosis and Treatment of NUT Carcinoma. Cancer Res Treat 55:452–467. </w:t>
      </w:r>
      <w:hyperlink r:id="rId38">
        <w:r>
          <w:rPr>
            <w:rStyle w:val="Hyperlink"/>
          </w:rPr>
          <w:t>PMID: 36265509</w:t>
        </w:r>
      </w:hyperlink>
      <w:r>
        <w:rPr/>
        <w:t xml:space="preserve">. </w:t>
      </w:r>
      <w:hyperlink r:id="rId39">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Freire PR and OM Conneely. (2018). NR4A1 and NR4A3 restrict HSC proliferation via reciprocal regulation of C/EBPα and inflammatory signaling. Blood 131:1081–1093. </w:t>
      </w:r>
      <w:hyperlink r:id="rId40">
        <w:r>
          <w:rPr>
            <w:rStyle w:val="Hyperlink"/>
          </w:rPr>
          <w:t>PMID: 29343483</w:t>
        </w:r>
      </w:hyperlink>
      <w:r>
        <w:rPr/>
        <w:t xml:space="preserve">. </w:t>
      </w:r>
      <w:hyperlink r:id="rId41">
        <w:r>
          <w:rPr>
            <w:rStyle w:val="Hyperlink"/>
          </w:rPr>
          <w:t>doi:10.1182/blood-2017-07-795757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Beard JA, A Tenga and T Chen. (2015). The interplay of NR4A receptors and the oncogene-tumor suppressor networks in cancer. Cell Signal 27:257–266. </w:t>
      </w:r>
      <w:hyperlink r:id="rId42">
        <w:r>
          <w:rPr>
            <w:rStyle w:val="Hyperlink"/>
          </w:rPr>
          <w:t>PMID: 25446259</w:t>
        </w:r>
      </w:hyperlink>
      <w:r>
        <w:rPr/>
        <w:t xml:space="preserve">. </w:t>
      </w:r>
      <w:hyperlink r:id="rId43">
        <w:r>
          <w:rPr>
            <w:rStyle w:val="Hyperlink"/>
          </w:rPr>
          <w:t>doi:10.1016/j.cellsig.2014.11.009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Ramirez-Herrick AM, SE Mullican, AM Sheehan and OM Conneely. (2011). Reduced NR4A gene dosage leads to mixed myelodysplastic/myeloproliferative neoplasms in mice. Blood 117:2681–2690. </w:t>
      </w:r>
      <w:hyperlink r:id="rId44">
        <w:r>
          <w:rPr>
            <w:rStyle w:val="Hyperlink"/>
          </w:rPr>
          <w:t>PMID: 21205929</w:t>
        </w:r>
      </w:hyperlink>
      <w:r>
        <w:rPr/>
        <w:t xml:space="preserve">. </w:t>
      </w:r>
      <w:hyperlink r:id="rId45">
        <w:r>
          <w:rPr>
            <w:rStyle w:val="Hyperlink"/>
          </w:rPr>
          <w:t>doi:10.1182/blood-2010-02-267906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Hamers AA, RN Hanna, H Nowyhed, CC Hedrick and CJ de Vries. (2013). NR4A nuclear receptors in immunity and atherosclerosis. Curr Opin Lipidol 24:381–385. </w:t>
      </w:r>
      <w:hyperlink r:id="rId46">
        <w:r>
          <w:rPr>
            <w:rStyle w:val="Hyperlink"/>
          </w:rPr>
          <w:t>PMID: 24005216</w:t>
        </w:r>
      </w:hyperlink>
      <w:r>
        <w:rPr/>
        <w:t xml:space="preserve">. </w:t>
      </w:r>
      <w:hyperlink r:id="rId47">
        <w:r>
          <w:rPr>
            <w:rStyle w:val="Hyperlink"/>
          </w:rPr>
          <w:t>doi:10.1097/mol.0b013e3283643eac</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48">
        <w:r>
          <w:rPr>
            <w:rStyle w:val="Hyperlink"/>
          </w:rPr>
          <w:t>PMID: 39656687</w:t>
        </w:r>
      </w:hyperlink>
      <w:r>
        <w:rPr/>
        <w:t xml:space="preserve">. </w:t>
      </w:r>
      <w:hyperlink r:id="rId49">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Kauppinen S, B Vester and J Wengel. (2005). Locked nucleic acid (LNA): High affinity targeting of RNA for diagnostics and therapeutics. Drug Discov Today Technol 2:287–290. </w:t>
      </w:r>
      <w:hyperlink r:id="rId50">
        <w:r>
          <w:rPr>
            <w:rStyle w:val="Hyperlink"/>
          </w:rPr>
          <w:t>PMID: 24981949</w:t>
        </w:r>
      </w:hyperlink>
      <w:r>
        <w:rPr/>
        <w:t xml:space="preserve">. </w:t>
      </w:r>
      <w:hyperlink r:id="rId51">
        <w:r>
          <w:rPr>
            <w:rStyle w:val="Hyperlink"/>
          </w:rPr>
          <w:t>doi:10.1016/j.ddtec.2005.08.012</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pubmed.ncbi.nlm.nih.gov/8634690/" TargetMode="External"/><Relationship Id="rId8" Type="http://schemas.openxmlformats.org/officeDocument/2006/relationships/hyperlink" Target="https://doi.org/10.1093/hmg/4.12.2219" TargetMode="External"/><Relationship Id="rId9" Type="http://schemas.openxmlformats.org/officeDocument/2006/relationships/hyperlink" Target="https://pubmed.ncbi.nlm.nih.gov/32572850/" TargetMode="External"/><Relationship Id="rId10" Type="http://schemas.openxmlformats.org/officeDocument/2006/relationships/hyperlink" Target="https://doi.org/10.1245/s10434-020-08737-7" TargetMode="External"/><Relationship Id="rId11" Type="http://schemas.openxmlformats.org/officeDocument/2006/relationships/hyperlink" Target="https://pubmed.ncbi.nlm.nih.gov/41055792/" TargetMode="External"/><Relationship Id="rId12" Type="http://schemas.openxmlformats.org/officeDocument/2006/relationships/hyperlink" Target="https://doi.org/10.1007/s00432-025-06316-5" TargetMode="External"/><Relationship Id="rId13" Type="http://schemas.openxmlformats.org/officeDocument/2006/relationships/hyperlink" Target="https://pubmed.ncbi.nlm.nih.gov/24345066/" TargetMode="External"/><Relationship Id="rId14" Type="http://schemas.openxmlformats.org/officeDocument/2006/relationships/hyperlink" Target="https://doi.org/10.1186/2045-3329-3-16" TargetMode="External"/><Relationship Id="rId15" Type="http://schemas.openxmlformats.org/officeDocument/2006/relationships/hyperlink" Target="https://pubmed.ncbi.nlm.nih.gov/31331701/" TargetMode="External"/><Relationship Id="rId16" Type="http://schemas.openxmlformats.org/officeDocument/2006/relationships/hyperlink" Target="https://doi.org/10.1016/S1470-2045(19)30319-5" TargetMode="External"/><Relationship Id="rId17" Type="http://schemas.openxmlformats.org/officeDocument/2006/relationships/hyperlink" Target="https://pubmed.ncbi.nlm.nih.gov/1794439/" TargetMode="External"/><Relationship Id="rId18" Type="http://schemas.openxmlformats.org/officeDocument/2006/relationships/hyperlink" Target="https://pubmed.ncbi.nlm.nih.gov/9049825/" TargetMode="External"/><Relationship Id="rId19" Type="http://schemas.openxmlformats.org/officeDocument/2006/relationships/hyperlink" Target="https://doi.org/10.1023/a:1005716926800" TargetMode="External"/><Relationship Id="rId20" Type="http://schemas.openxmlformats.org/officeDocument/2006/relationships/hyperlink" Target="https://pubmed.ncbi.nlm.nih.gov/33241214/" TargetMode="External"/><Relationship Id="rId21" Type="http://schemas.openxmlformats.org/officeDocument/2006/relationships/hyperlink" Target="https://doi.org/10.1093/noajnl/vdaa132" TargetMode="External"/><Relationship Id="rId22" Type="http://schemas.openxmlformats.org/officeDocument/2006/relationships/hyperlink" Target="https://pubmed.ncbi.nlm.nih.gov/21846246/" TargetMode="External"/><Relationship Id="rId23" Type="http://schemas.openxmlformats.org/officeDocument/2006/relationships/hyperlink" Target="https://doi.org/10.1089/hum.2011.079" TargetMode="External"/><Relationship Id="rId24" Type="http://schemas.openxmlformats.org/officeDocument/2006/relationships/hyperlink" Target="https://pubmed.ncbi.nlm.nih.gov/23052253/" TargetMode="External"/><Relationship Id="rId25" Type="http://schemas.openxmlformats.org/officeDocument/2006/relationships/hyperlink" Target="https://doi.org/10.1158/1078-0432.ccr-12-2715" TargetMode="External"/><Relationship Id="rId26" Type="http://schemas.openxmlformats.org/officeDocument/2006/relationships/hyperlink" Target="https://pubmed.ncbi.nlm.nih.gov/37980543/" TargetMode="External"/><Relationship Id="rId27" Type="http://schemas.openxmlformats.org/officeDocument/2006/relationships/hyperlink" Target="https://doi.org/10.1016/j.ymthe.2023.11.012" TargetMode="External"/><Relationship Id="rId28" Type="http://schemas.openxmlformats.org/officeDocument/2006/relationships/hyperlink" Target="https://pubmed.ncbi.nlm.nih.gov/12378528/" TargetMode="External"/><Relationship Id="rId29" Type="http://schemas.openxmlformats.org/officeDocument/2006/relationships/hyperlink" Target="https://doi.org/10.1002/gcc.10127" TargetMode="External"/><Relationship Id="rId30" Type="http://schemas.openxmlformats.org/officeDocument/2006/relationships/hyperlink" Target="https://pubmed.ncbi.nlm.nih.gov/36948401/" TargetMode="External"/><Relationship Id="rId31" Type="http://schemas.openxmlformats.org/officeDocument/2006/relationships/hyperlink" Target="https://doi.org/10.1016/j.modpat.2023.100161" TargetMode="External"/><Relationship Id="rId32" Type="http://schemas.openxmlformats.org/officeDocument/2006/relationships/hyperlink" Target="https://pubmed.ncbi.nlm.nih.gov/31020999/" TargetMode="External"/><Relationship Id="rId33" Type="http://schemas.openxmlformats.org/officeDocument/2006/relationships/hyperlink" Target="https://doi.org/10.1002/path.5284" TargetMode="External"/><Relationship Id="rId34" Type="http://schemas.openxmlformats.org/officeDocument/2006/relationships/hyperlink" Target="https://pubmed.ncbi.nlm.nih.gov/36316541/" TargetMode="External"/><Relationship Id="rId35" Type="http://schemas.openxmlformats.org/officeDocument/2006/relationships/hyperlink" Target="https://doi.org/10.1007/s13577-022-00818-x" TargetMode="External"/><Relationship Id="rId36" Type="http://schemas.openxmlformats.org/officeDocument/2006/relationships/hyperlink" Target="https://pubmed.ncbi.nlm.nih.gov/37370737/" TargetMode="External"/><Relationship Id="rId37" Type="http://schemas.openxmlformats.org/officeDocument/2006/relationships/hyperlink" Target="https://doi.org/10.3390/cancers15123127" TargetMode="External"/><Relationship Id="rId38" Type="http://schemas.openxmlformats.org/officeDocument/2006/relationships/hyperlink" Target="https://pubmed.ncbi.nlm.nih.gov/36265509/" TargetMode="External"/><Relationship Id="rId39" Type="http://schemas.openxmlformats.org/officeDocument/2006/relationships/hyperlink" Target="https://doi.org/10.4143/crt.2022.910" TargetMode="External"/><Relationship Id="rId40" Type="http://schemas.openxmlformats.org/officeDocument/2006/relationships/hyperlink" Target="https://pubmed.ncbi.nlm.nih.gov/29343483/" TargetMode="External"/><Relationship Id="rId41" Type="http://schemas.openxmlformats.org/officeDocument/2006/relationships/hyperlink" Target="https://doi.org/10.1182/blood-2017-07-795757" TargetMode="External"/><Relationship Id="rId42" Type="http://schemas.openxmlformats.org/officeDocument/2006/relationships/hyperlink" Target="https://pubmed.ncbi.nlm.nih.gov/25446259/" TargetMode="External"/><Relationship Id="rId43" Type="http://schemas.openxmlformats.org/officeDocument/2006/relationships/hyperlink" Target="https://doi.org/10.1016/j.cellsig.2014.11.009" TargetMode="External"/><Relationship Id="rId44" Type="http://schemas.openxmlformats.org/officeDocument/2006/relationships/hyperlink" Target="https://pubmed.ncbi.nlm.nih.gov/21205929/" TargetMode="External"/><Relationship Id="rId45" Type="http://schemas.openxmlformats.org/officeDocument/2006/relationships/hyperlink" Target="https://doi.org/10.1182/blood-2010-02-267906" TargetMode="External"/><Relationship Id="rId46" Type="http://schemas.openxmlformats.org/officeDocument/2006/relationships/hyperlink" Target="https://pubmed.ncbi.nlm.nih.gov/24005216/" TargetMode="External"/><Relationship Id="rId47" Type="http://schemas.openxmlformats.org/officeDocument/2006/relationships/hyperlink" Target="https://doi.org/10.1097/mol.0b013e3283643eac" TargetMode="External"/><Relationship Id="rId48" Type="http://schemas.openxmlformats.org/officeDocument/2006/relationships/hyperlink" Target="https://pubmed.ncbi.nlm.nih.gov/39656687/" TargetMode="External"/><Relationship Id="rId49" Type="http://schemas.openxmlformats.org/officeDocument/2006/relationships/hyperlink" Target="https://doi.org/10.1093/nar/gkae1071" TargetMode="External"/><Relationship Id="rId50" Type="http://schemas.openxmlformats.org/officeDocument/2006/relationships/hyperlink" Target="https://pubmed.ncbi.nlm.nih.gov/24981949/" TargetMode="External"/><Relationship Id="rId51" Type="http://schemas.openxmlformats.org/officeDocument/2006/relationships/hyperlink" Target="https://doi.org/10.1016/j.ddtec.2005.08.012" TargetMode="Externa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gapmers in extraskeletal myxoid chondrosarcoma: 87 of 190 pair a wild-type parent through the gap at 10 bp</dc:title>
</cp:coreProperties>
</file>

<file path=docProps/custom.xml><?xml version="1.0" encoding="utf-8"?>
<Properties xmlns="http://schemas.openxmlformats.org/officeDocument/2006/custom-properties" xmlns:vt="http://schemas.openxmlformats.org/officeDocument/2006/docPropsVTypes"/>
</file>