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w:t>
      </w:r>
      <w:r>
        <w:rPr>
          <w:position w:val="7"/>
          <w:sz w:val="17"/>
        </w:rPr>
        <w:t>22</w:t>
      </w:r>
      <w:r>
        <w:rPr/>
        <w:t xml:space="preserve">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§5 specifies, against the wild-type parent §3 identifies as the liability.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w:t>
      </w:r>
      <w:r>
        <w:rPr>
          <w:position w:val="7"/>
          <w:sz w:val="17"/>
        </w:rPr>
        <w:t>22</w:t>
      </w:r>
      <w:r>
        <w:rPr/>
        <w:t xml:space="preserve">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each parent supplies about half of any junction design, which is far outside the mismatch budget of a conventional off-target search, so that search cannot return a parent as a near-match at any threshold it is normally run at. The liability is therefore invisible to the instrument a designer would ordinarily use,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and it favours the reagents named here.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a donor joined to its first coding exon does, and that exon is transcript exon 3, the acceptor this panel is tiled at. On the coding-exon reading, therefore, the two cell models carry the junctions the reagents above span. This is an inference and not a determination: a 5′-untranslated acceptor is reported in this disease at least once, in a </w:t>
      </w:r>
      <w:r>
        <w:rPr>
          <w:rStyle w:val="Emphasis"/>
        </w:rPr>
        <w:t>PGR</w:t>
      </w:r>
      <w:r>
        <w:rPr/>
        <w:t>::</w:t>
      </w:r>
      <w:r>
        <w:rPr>
          <w:rStyle w:val="Emphasis"/>
        </w:rPr>
        <w:t>NR4A3</w:t>
      </w:r>
      <w:r>
        <w:rPr/>
        <w:t xml:space="preserve"> case,</w:t>
      </w:r>
      <w:r>
        <w:rPr>
          <w:position w:val="7"/>
          <w:sz w:val="17"/>
        </w:rPr>
        <w:t>16</w:t>
      </w:r>
      <w:r>
        <w:rPr/>
        <w:t xml:space="preserve"> and the requirement below is unchanged.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The extended report specifies it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 a comparison of the two half-maximal concentrations is the margin assessment the recommendations specify at this step, and they decline to set a default value for it.</w:t>
      </w:r>
      <w:r>
        <w:rPr>
          <w:position w:val="7"/>
          <w:sz w:val="17"/>
        </w:rPr>
        <w:t>22</w:t>
      </w:r>
      <w:r>
        <w:rPr/>
        <w:t xml:space="preserve">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which is the search scope the 2025 recommendations ask for.</w:t>
      </w:r>
      <w:r>
        <w:rPr>
          <w:position w:val="7"/>
          <w:sz w:val="17"/>
        </w:rPr>
        <w:t>22</w:t>
      </w:r>
      <w:r>
        <w:rPr/>
        <w:t xml:space="preserve"> A near-match is a transcript window pairing a design at 14 or more of its 16 positions. Each alignment was then re-scored on the nearest-neighbour stability of its longest contiguous paired run, the energy-based second stage those recommendations prescribe;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for these reagents; only the fusion-versus-parent separation is, and as a floor, because the fusion duplex pairs all ten locked residues where each parent half-duplex pairs five, by construction for every design here.</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Andersson P, SA Burel, H Estrella, et al. (2025). Assessing Hybridization-Dependent Off-Target Risk for Therapeutic Oligonucleotides: Updated Industry Recommendations. Nucleic Acid Ther 35:16–33. </w:t>
      </w:r>
      <w:hyperlink r:id="rId27">
        <w:r>
          <w:rPr>
            <w:rStyle w:val="Hyperlink"/>
          </w:rPr>
          <w:t>doi:10.1089/nat.2024.0072</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hyperlink" Target="https://doi.org/10.1089/nat.2024.0072" TargetMode="Externa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