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Cover letter</w:t>
      </w:r>
    </w:p>
    <w:p>
      <w:r>
        <w:rPr>
          <w:b w:val="0"/>
          <w:i w:val="0"/>
        </w:rPr>
        <w:t>Dear Editors,</w:t>
      </w:r>
    </w:p>
    <w:p>
      <w:r>
        <w:rPr>
          <w:b w:val="0"/>
          <w:i w:val="0"/>
        </w:rPr>
        <w:t>Please consider “Reading-frame constraints and retained RG content in NR4A3 fusion models of extraskeletal myxoid chondrosarcoma” as an Original Research Article in Cancer Genetics.</w:t>
      </w:r>
    </w:p>
    <w:p>
      <w:r>
        <w:rPr>
          <w:b w:val="0"/>
          <w:i w:val="0"/>
        </w:rPr>
        <w:t>This computational study reconstructs four sourced NR4A3 fusion junctions at transcript level, resolves reference-model reading-frame constraints, and places retained RG content on a published axis while distinguishing breakpoint models from the measured construct. It also reports the retained symmetric TCF12 composition comparison. No recruitment experiment or ATR-inhibitor-response test was performed, and patient-junction confirmation remains necessary.</w:t>
      </w:r>
    </w:p>
    <w:p>
      <w:r>
        <w:rPr>
          <w:b w:val="0"/>
          <w:i w:val="0"/>
        </w:rPr>
        <w:t>The scientific content is unchanged from the existing Research Square submission rs-10988531, currently in prescreening. This journal package supplies editable text and tables, a structured abstract, separate supplementary tables and original figure files. It does not create a duplicate preprint submission or claim that the preprint is publicly posted.</w:t>
      </w:r>
    </w:p>
    <w:p>
      <w:r>
        <w:rPr>
          <w:b w:val="0"/>
          <w:i w:val="0"/>
        </w:rPr>
        <w:t>We request the standard subscription route with online-only color and no optional paid open-access or accelerated service. Funding, interests and AI assistance are disclosed in the manuscript.</w:t>
      </w:r>
    </w:p>
    <w:p>
      <w:r>
        <w:rPr>
          <w:b w:val="0"/>
          <w:i w:val="0"/>
        </w:rPr>
        <w:t>Sincerely,</w:t>
      </w:r>
    </w:p>
    <w:p>
      <w:r>
        <w:rPr>
          <w:b w:val="0"/>
          <w:i w:val="0"/>
        </w:rPr>
        <w:t>Tristan D. McRae</w:t>
      </w:r>
    </w:p>
    <w:p>
      <w:r>
        <w:rPr>
          <w:b w:val="0"/>
          <w:i w:val="0"/>
        </w:rPr>
        <w:t>Independent researcher, unaffiliated</w:t>
      </w:r>
    </w:p>
    <w:p>
      <w:r>
        <w:rPr>
          <w:b w:val="0"/>
          <w:i w:val="0"/>
        </w:rPr>
        <w:t>trimcrae@gmail.com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Tristan D. McRae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