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it,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The procedure producing them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range[12];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where they fall in its central gap, on which reading a flanking mismatch is the more important one to avoid. An industry working group's 2025 off-target recommendations[13] set five steps, as their abstract states: identification in silico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were obtained from Ensembl[14]. Junction-spanning 16-mer gapmers were tiled in a 5-6-5 β-D-oxy-locked-nucleic-acid/DNA/β-D-oxy-locked-nucleic-acid geometry[12],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 the energy-based second stage adopted here — and only separations are reported. A design is liable where a wild-type parent pairs its whole catalytic gap over a contiguous run of ten base pairs or more, ten being adopted rather than measured. Ten null ensembles were built as scrambles of each design and as chimeras joining the same two parent transcripts at real exon termini, screened identically. Melting temperatures are nearest-neighbour values for an unmodified DNA:RNA hybrid at 250 nM strand[15].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series[16], the two junctions account for 68.4% of molecularly confirmed cases in a 58-case cohort[17].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takes the first two.</w:t>
      </w:r>
    </w:p>
    <w:p>
      <w:pPr>
        <w:pStyle w:val="Heading3"/>
        <w:bidi w:val="0"/>
        <w:jc w:val="left"/>
        <w:rPr/>
      </w:pPr>
      <w:r>
        <w:rPr/>
        <w:t>Selection from a panel of 190 designs</w:t>
      </w:r>
    </w:p>
    <w:p>
      <w:pPr>
        <w:pStyle w:val="BodyText"/>
        <w:bidi w:val="0"/>
        <w:rPr/>
      </w:pPr>
      <w:r>
        <w:rPr/>
        <w:t>The parent liability the Introduction describes is mostly but not wholly invisible to the instrument a designer would ordinarily use: seven of the 87 liable designs reach their parent at the 14-of-16 identity these screens run at, and are excluded by name rather than by that threshold. That is the case for screening it directly.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 — upper bounds on that separation, since scoring the longest paired run ignores pairing either side of a mismatch.</w:t>
      </w:r>
    </w:p>
    <w:p>
      <w:pPr>
        <w:pStyle w:val="BodyText"/>
        <w:bidi w:val="0"/>
        <w:rPr/>
      </w:pPr>
      <w:r>
        <w:rPr/>
        <w:t>Lengthening the catalytic gap does not remove this liability, because every base inside the gap comes from the donor or the acceptor exon. Across three geometries the liable count holds at 87, 88 and 87 while the panel grows from 190 designs to 266 and 342, so the rate falls from 45.8% to 33.1% and 25.4%: a longer gap buys margin per design without removing the liability. At 5-10-5 the criterion is met by the catalytic gap alone, so that last figure is a floor; the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w:t>
      </w:r>
    </w:p>
    <w:p>
      <w:pPr>
        <w:pStyle w:val="BodyText"/>
        <w:bidi w:val="0"/>
        <w:rPr/>
      </w:pPr>
      <w:r>
        <w:rPr/>
        <w:t>The comparison against null models does not resolve an excess specific to this disease. Chimeras built at real exon termini of the same two transcripts, at junctions almost never reported in a patient, meet the parent screen at 40.6% against 45.8% for the panel. The adopted cut does not escape that comparison: at ten the strongest null's 40.6% falls inside the panel's own 95% interval on 45.8%, as at every cut from seven to thirteen but eleven.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series[18], and a </w:t>
      </w:r>
      <w:r>
        <w:rPr>
          <w:rStyle w:val="Emphasis"/>
        </w:rPr>
        <w:t>PGR</w:t>
      </w:r>
      <w:r>
        <w:rPr/>
        <w:t>::</w:t>
      </w:r>
      <w:r>
        <w:rPr>
          <w:rStyle w:val="Emphasis"/>
        </w:rPr>
        <w:t>NR4A3</w:t>
      </w:r>
      <w:r>
        <w:rPr/>
        <w:t xml:space="preserve"> case joins exon 2 to the </w:t>
      </w:r>
      <w:r>
        <w:rPr>
          <w:rStyle w:val="Emphasis"/>
        </w:rPr>
        <w:t>NR4A3</w:t>
      </w:r>
      <w:r>
        <w:rPr/>
        <w:t xml:space="preserve"> 5′ untranslated region[19]. Beyond exon 3 the position is the reverse: across the exon-resolved </w:t>
      </w:r>
      <w:r>
        <w:rPr>
          <w:rStyle w:val="Emphasis"/>
        </w:rPr>
        <w:t>NR4A3</w:t>
      </w:r>
      <w:r>
        <w:rPr/>
        <w:t xml:space="preserve"> junctions retrieved here every acceptor is exon 2, exon 3, or a cryptic exon in intron 2[20], none 3′ of exon 3, so nothing is designed there because no patient is reported there.</w:t>
      </w:r>
    </w:p>
    <w:p>
      <w:pPr>
        <w:pStyle w:val="BodyText"/>
        <w:bidi w:val="0"/>
        <w:rPr/>
      </w:pPr>
      <w:r>
        <w:rPr/>
        <w:t>Three are engineered constructs from a published functional study[20], whose exon spans that paper states verbatim; two of them, E-N and T-N*, carry exactly the junctions the reagents above span, so both named reagents have a stated test article. Rebuilding them is the faster route, but a heterologously over-expressed complementary DNA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tumours[21],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factor[1,20].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test article's breakpoint must be established at nucleotide resolution by RNA sequencing before any oligonucleotide is ordered: most designs here are specific to the exon pair they were tiled at, and nine of the panel's 176 distinct sequences match at more than one.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tumour[22]. It is specified here for these reagents, with the two screened controls above, which a knockdown assay alone cannot distinguish.</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The cut of 5.0 is adopted as a convention. Its form and the cut are adopted here, not from the framework's third step[13].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the gate applies to the upper confidence bound on a pilot's standard deviation: at or above the void figure for the count proposed, the decision is more replicates or no test,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design's own parent pairs more than 13 base pairs in either compartment, against the whole 16 for the eight fully paired off-target duplexes above, five of them curated records. That is a bound, not a ranking — the parent arm reads six transcripts and the energy screen excludes parent records by name — and the two parent compartments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here[8-10,23]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unsettled — reported paralogue redundancy and dosage effects point in opposite directions — and the archived deposit does not resolve it.</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What is new here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per-design tables, every screen's parameters and the complete bounds on each claim are deposited under </w:t>
      </w:r>
      <w:hyperlink r:id="rId3">
        <w:r>
          <w:rPr>
            <w:rStyle w:val="Hyperlink"/>
          </w:rPr>
          <w:t>doi:10.5281/zenodo.22061075</w:t>
        </w:r>
      </w:hyperlink>
      <w:r>
        <w:rPr/>
        <w:t>,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4">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5">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6">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7">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8">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9">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0">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2">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3">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4">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5">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DejaVu Sans" w:cs="DejaVu 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DejaVu Sans" w:cs="DejaVu 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DejaVu Sans" w:cs="DejaVu 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061075"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16/j.ddtec.2005.08.012" TargetMode="External"/><Relationship Id="rId15" Type="http://schemas.openxmlformats.org/officeDocument/2006/relationships/hyperlink" Target="https://doi.org/10.1089/nat.2024.0072" TargetMode="External"/><Relationship Id="rId16" Type="http://schemas.openxmlformats.org/officeDocument/2006/relationships/hyperlink" Target="https://doi.org/10.1093/nar/gkae1071" TargetMode="External"/><Relationship Id="rId17" Type="http://schemas.openxmlformats.org/officeDocument/2006/relationships/hyperlink" Target="https://doi.org/10.1021/bi00035a029" TargetMode="External"/><Relationship Id="rId18" Type="http://schemas.openxmlformats.org/officeDocument/2006/relationships/hyperlink" Target="https://doi.org/10.1002/gcc.10127" TargetMode="External"/><Relationship Id="rId19" Type="http://schemas.openxmlformats.org/officeDocument/2006/relationships/hyperlink" Target="https://doi.org/10.1016/j.modpat.2023.100161" TargetMode="External"/><Relationship Id="rId20" Type="http://schemas.openxmlformats.org/officeDocument/2006/relationships/hyperlink" Target="https://doi.org/10.3390/ijms19071855" TargetMode="External"/><Relationship Id="rId21" Type="http://schemas.openxmlformats.org/officeDocument/2006/relationships/hyperlink" Target="https://doi.org/10.1200/po.22.00039" TargetMode="External"/><Relationship Id="rId22" Type="http://schemas.openxmlformats.org/officeDocument/2006/relationships/hyperlink" Target="https://doi.org/10.1002/path.5284" TargetMode="External"/><Relationship Id="rId23" Type="http://schemas.openxmlformats.org/officeDocument/2006/relationships/hyperlink" Target="https://doi.org/10.1007/s13577-022-00818-x" TargetMode="External"/><Relationship Id="rId24" Type="http://schemas.openxmlformats.org/officeDocument/2006/relationships/hyperlink" Target="https://doi.org/10.3390/cancers15123127" TargetMode="External"/><Relationship Id="rId25" Type="http://schemas.openxmlformats.org/officeDocument/2006/relationships/hyperlink" Target="https://doi.org/10.4143/crt.2022.910"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