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the fusion,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range[12];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recommendations[13] set five steps, as their abstract states: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were obtained from Ensembl[14]. Junction-spanning 16-mer gapmers were tiled in a 5-6-5 β-D-oxy-locked-nucleic-acid/DNA/β-D-oxy-locked-nucleic-acid geometry[12],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strand[15].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They are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series[16], the two junctions account for 68.4% of molecularly confirmed cases in a 58-case cohort[17].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above takes the first two.</w:t>
      </w:r>
    </w:p>
    <w:p>
      <w:pPr>
        <w:pStyle w:val="Heading3"/>
        <w:bidi w:val="0"/>
        <w:jc w:val="left"/>
        <w:rPr/>
      </w:pPr>
      <w:r>
        <w:rPr/>
        <w:t>Selection from a panel of 190 designs</w:t>
      </w:r>
    </w:p>
    <w:p>
      <w:pPr>
        <w:pStyle w:val="BodyText"/>
        <w:bidi w:val="0"/>
        <w:rPr/>
      </w:pPr>
      <w:r>
        <w:rPr/>
        <w:t>What this screen establishes is structural rather than statistical, and it does not depend on the cut. The parent liability the Introduction describes is invisible to the instrument a designer would ordinarily use, at any threshold that instrument is normally run at. That is the case for screening it directly, whatever cut is adopted.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archived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The comparison against null models does not resolve an excess specific to this disease. Mononucleotide scrambles meet the parent screen at 6.2% against 45.8% for the panel. They are the weakest of the ten nulls screened, and not the dinucleotide-preserving control prescribed below. Chimeras built at real exon termini of the same two transcripts, at junctions almost never reported in a patient, meet it at 40.6%. Each null rate is 38,000 draws with a Wilson 95% interval.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series[18], and a </w:t>
      </w:r>
      <w:r>
        <w:rPr>
          <w:rStyle w:val="Emphasis"/>
        </w:rPr>
        <w:t>PGR</w:t>
      </w:r>
      <w:r>
        <w:rPr/>
        <w:t>::</w:t>
      </w:r>
      <w:r>
        <w:rPr>
          <w:rStyle w:val="Emphasis"/>
        </w:rPr>
        <w:t>NR4A3</w:t>
      </w:r>
      <w:r>
        <w:rPr/>
        <w:t xml:space="preserve"> case joins exon 2 to the </w:t>
      </w:r>
      <w:r>
        <w:rPr>
          <w:rStyle w:val="Emphasis"/>
        </w:rPr>
        <w:t>NR4A3</w:t>
      </w:r>
      <w:r>
        <w:rPr/>
        <w:t xml:space="preserve"> 5′ untranslated region[19]. Beyond exon 3 the position is the reverse: across the exon-resolved </w:t>
      </w:r>
      <w:r>
        <w:rPr>
          <w:rStyle w:val="Emphasis"/>
        </w:rPr>
        <w:t>NR4A3</w:t>
      </w:r>
      <w:r>
        <w:rPr/>
        <w:t xml:space="preserve"> junctions retrieved here every acceptor is exon 2, exon 3, or a cryptic exon in intron 2[20], none 3′ of exon 3, so nothing is designed there because no patient is reported there.</w:t>
      </w:r>
    </w:p>
    <w:p>
      <w:pPr>
        <w:pStyle w:val="BodyText"/>
        <w:bidi w:val="0"/>
        <w:rPr/>
      </w:pPr>
      <w:r>
        <w:rPr/>
        <w:t>Three are engineered constructs from a published functional study[20],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tumours[21],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factor[1,20].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One unscreened scramble in ten would carry the same predicted parent liability as the reagent it controls for.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tumour[22]. It is specified here for these reagents, with the two screened controls above, which a knockdown assay alone cannot distinguish.</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The cut of 5.0 is adopted as a convention. Comparing the two half-maximal concentrations is the margin assessment of the third step[13]. Its form and the cut are adopted here, not from that source.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design condemned in both is one design.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here[8-10,23]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archived deposit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What is new here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3">
        <w:r>
          <w:rPr>
            <w:rStyle w:val="Hyperlink"/>
          </w:rPr>
          <w:t>doi:10.5281/zenodo.22061075</w:t>
        </w:r>
      </w:hyperlink>
      <w:r>
        <w:rPr/>
        <w:t>. That deposit carries every screen's parameters and the complete bounds on each claim, and is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4">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5">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6">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7">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8">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9">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0">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2">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3">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4">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5">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Section 5 gives why that screening step is what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16/j.ddtec.2005.08.012" TargetMode="External"/><Relationship Id="rId15" Type="http://schemas.openxmlformats.org/officeDocument/2006/relationships/hyperlink" Target="https://doi.org/10.1089/nat.2024.0072" TargetMode="External"/><Relationship Id="rId16" Type="http://schemas.openxmlformats.org/officeDocument/2006/relationships/hyperlink" Target="https://doi.org/10.1093/nar/gkae1071" TargetMode="External"/><Relationship Id="rId17" Type="http://schemas.openxmlformats.org/officeDocument/2006/relationships/hyperlink" Target="https://doi.org/10.1021/bi00035a029" TargetMode="External"/><Relationship Id="rId18" Type="http://schemas.openxmlformats.org/officeDocument/2006/relationships/hyperlink" Target="https://doi.org/10.1002/gcc.10127" TargetMode="External"/><Relationship Id="rId19" Type="http://schemas.openxmlformats.org/officeDocument/2006/relationships/hyperlink" Target="https://doi.org/10.1016/j.modpat.2023.100161" TargetMode="External"/><Relationship Id="rId20" Type="http://schemas.openxmlformats.org/officeDocument/2006/relationships/hyperlink" Target="https://doi.org/10.3390/ijms19071855" TargetMode="External"/><Relationship Id="rId21" Type="http://schemas.openxmlformats.org/officeDocument/2006/relationships/hyperlink" Target="https://doi.org/10.1200/po.22.00039" TargetMode="External"/><Relationship Id="rId22" Type="http://schemas.openxmlformats.org/officeDocument/2006/relationships/hyperlink" Target="https://doi.org/10.1002/path.5284" TargetMode="External"/><Relationship Id="rId23" Type="http://schemas.openxmlformats.org/officeDocument/2006/relationships/hyperlink" Target="https://doi.org/10.1007/s13577-022-00818-x" TargetMode="External"/><Relationship Id="rId24" Type="http://schemas.openxmlformats.org/officeDocument/2006/relationships/hyperlink" Target="https://doi.org/10.3390/cancers15123127" TargetMode="External"/><Relationship Id="rId25" Type="http://schemas.openxmlformats.org/officeDocument/2006/relationships/hyperlink" Target="https://doi.org/10.4143/crt.2022.910"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