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Scope and chronology</w:t>
      </w:r>
    </w:p>
    <w:p>
      <w:r>
        <w:rPr>
          <w:b w:val="0"/>
        </w:rPr>
        <w:t>The original fixed panel and comparator rule preceded inspection of target values in the Hofvander cohort. The primary types were myxoid liposarcoma (MLPS), low-grade fibromyxoid sarcoma (LGFMS) and synovial sarcoma, with separate MFS, DFSP, SFT and desmoid contexts. The September 19 extension broadened the descriptive atlas and malignant-category reference after those results were known. A dated amendment made the unstratified defined-reference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September21 amendment added an approximate 95% percentile bootstrap interval of 0.7090755–0.9575912 for this pooled A.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dated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Panel rule and sensitivity analyses</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Selection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it is not relabeled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Selection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