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This work is computational, executing an industry off-target framework's in-silico step; every sequence named is a research reagent not for administration. It names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the longest is wild-type </w:t>
      </w:r>
      <w:r>
        <w:rPr>
          <w:rStyle w:val="Emphasis"/>
        </w:rPr>
        <w:t>NR4A3</w:t>
      </w:r>
      <w:r>
        <w:rPr/>
        <w:t xml:space="preserve">.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Its length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in its central gap. An industry working group's 2025 off-target recommendations[14] set five steps; only the first is even partly in silico, pairing complementarity prediction with transcriptomics.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unambiguous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the energy-based second stage adopted here,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only before the hits are counted by gene: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 but six gene loci against five.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scans genomic sequence rather than transcripts, most of it never transcribed, so that contrast is not one the genomic search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w:t>
      </w:r>
    </w:p>
    <w:p>
      <w:pPr>
        <w:pStyle w:val="BodyText"/>
        <w:bidi w:val="0"/>
        <w:rPr/>
      </w:pPr>
      <w:r>
        <w:rPr/>
        <w:t>Two bounds apply to any count of designs called CLEAN by the alignment screen, and to those only — the parent, precursor and genome-wide screens below run over all 190 with no failures and no censoring. First, seven of the 190 alignment screens never returned, and that screen censors the rest, leaving 47 of 183 assessable for cleanliness — so a count of clean designs is a floor over that subset, not a total over the panel. Second, most designs clean at the default search ceiling are not clean at a deeper one.</w:t>
      </w:r>
    </w:p>
    <w:p>
      <w:pPr>
        <w:pStyle w:val="BodyText"/>
        <w:bidi w:val="0"/>
        <w:rPr/>
      </w:pPr>
      <w:r>
        <w:rPr/>
        <w:t xml:space="preserve">Both reagents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the longest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pairing the whole gap already demands ten base pairs, the top of the seven-to-ten the enzyme is reported to need, so a shorter run that could still license cleavage goes uncounted and that last figure is a floor; the deposit gives the series.</w:t>
      </w:r>
    </w:p>
    <w:p>
      <w:pPr>
        <w:pStyle w:val="BodyText"/>
        <w:bidi w:val="0"/>
        <w:rPr/>
      </w:pPr>
      <w:r>
        <w:rPr/>
        <w:t xml:space="preserve">Three designs clear every screen at the ten-base-pair criterion — two pairing no wild-type parent through the gap at any length, the third at eight base pairs against wild-type </w:t>
      </w:r>
      <w:r>
        <w:rPr>
          <w:rStyle w:val="Emphasis"/>
        </w:rPr>
        <w:t>NR4A3</w:t>
      </w:r>
      <w:r>
        <w:rPr/>
        <w:t xml:space="preserve">, below the criterion rather than absent. None is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the longest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they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also adopted for pre-registration, not measured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doi:10.5281/zenodo.22182180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value in the tables below is read from a committed artifact and none is typed by hand: the reagents from </w:t>
      </w:r>
      <w:r>
        <w:rPr>
          <w:rStyle w:val="SourceText"/>
        </w:rPr>
        <w:t>fusion-junction-aso-sequences.csv</w:t>
      </w:r>
      <w:r>
        <w:rPr>
          <w:rStyle w:val="Emphasis"/>
        </w:rPr>
        <w:t xml:space="preserve">, the canonical machine-readable record, and the controls from </w:t>
      </w:r>
      <w:r>
        <w:rPr>
          <w:rStyle w:val="SourceTextbrk"/>
        </w:rPr>
        <w:t>aso-control-oligos.json</w:t>
      </w:r>
      <w:r>
        <w:rPr>
          <w:rStyle w:val="Emphasis"/>
        </w:rPr>
        <w:t>, either directly or composed from their fields. The captions carry literature facts, each with its source named there.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218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