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4A56"/>
          <w:sz w:val="42"/>
          <w:szCs w:val="42"/>
        </w:rPr>
        <w:t xml:space="preserve">Freight Rate Prediction</w:t>
      </w:r>
    </w:p>
    <w:p>
      <w:pPr>
        <w:spacing w:after="160"/>
      </w:pPr>
      <w:r>
        <w:rPr>
          <w:color w:val="455A60"/>
          <w:sz w:val="24"/>
          <w:szCs w:val="24"/>
        </w:rPr>
        <w:t xml:space="preserve">Spotter — Machine Learning Engineer assessment</w:t>
      </w:r>
    </w:p>
    <w:p>
      <w:pPr>
        <w:pBdr>
          <w:bottom w:val="single" w:color="C9722F" w:sz="8"/>
        </w:pBdr>
        <w:spacing w:after="200"/>
      </w:pPr>
      <w:r>
        <w:rPr>
          <w:color w:val="455A60"/>
          <w:sz w:val="21"/>
          <w:szCs w:val="21"/>
        </w:rPr>
        <w:t xml:space="preserve">Leutrim Istrefi</w:t>
      </w:r>
    </w:p>
    <w:p>
      <w:pPr>
        <w:pStyle w:val="Heading1"/>
        <w:spacing w:after="140" w:before="320"/>
      </w:pPr>
      <w:r>
        <w:rPr>
          <w:b/>
          <w:bCs/>
          <w:color w:val="064A56"/>
          <w:sz w:val="26"/>
          <w:szCs w:val="26"/>
        </w:rPr>
        <w:t xml:space="preserve">1. Summary</w:t>
      </w:r>
    </w:p>
    <w:p>
      <w:pPr>
        <w:spacing w:after="130" w:line="276"/>
      </w:pPr>
      <w:r>
        <w:rPr>
          <w:sz w:val="21"/>
          <w:szCs w:val="21"/>
        </w:rPr>
        <w:t xml:space="preserve">48,000 labelled loads run from 1 January to 31 October 2025. The 12,000 loads to price run from </w:t>
      </w:r>
      <w:r>
        <w:rPr>
          <w:b/>
          <w:bCs/>
          <w:sz w:val="21"/>
          <w:szCs w:val="21"/>
        </w:rPr>
        <w:t xml:space="preserve">1 November to 31 December</w:t>
      </w:r>
      <w:r>
        <w:rPr>
          <w:sz w:val="21"/>
          <w:szCs w:val="21"/>
        </w:rPr>
        <w:t xml:space="preserve"> — so this is a two-month-ahead forecast, not a random holdout, and the whole design follows from that.</w:t>
      </w:r>
    </w:p>
    <w:p>
      <w:pPr>
        <w:spacing w:after="130" w:line="276"/>
      </w:pPr>
      <w:r>
        <w:rPr>
          <w:sz w:val="21"/>
          <w:szCs w:val="21"/>
        </w:rPr>
        <w:t xml:space="preserve">The model is a gradient-boosted tree on </w:t>
      </w:r>
      <w:r>
        <w:rPr>
          <w:b/>
          <w:bCs/>
          <w:sz w:val="21"/>
          <w:szCs w:val="21"/>
        </w:rPr>
        <w:t xml:space="preserve">log dollars per mile</w:t>
      </w:r>
      <w:r>
        <w:rPr>
          <w:sz w:val="21"/>
          <w:szCs w:val="21"/>
        </w:rPr>
        <w:t xml:space="preserve">, with the year's upward price drift taken out before fitting and added back at prediction time. Trees cannot extrapolate past the last date they were trained on; handling the drift separately is what makes November and December genuine forecasts rather than a copy of October.</w:t>
      </w:r>
    </w:p>
    <w:p>
      <w:pPr>
        <w:spacing w:after="130" w:line="276"/>
      </w:pPr>
      <w:r>
        <w:rPr>
          <w:sz w:val="21"/>
          <w:szCs w:val="21"/>
        </w:rPr>
        <w:t xml:space="preserve">Measured on rolling two-month-ahead holdouts, against labels that were not corrupted:</w:t>
      </w:r>
    </w:p>
    <w:tbl>
      <w:tblPr>
        <w:tblW w:type="dxa" w:w="9360"/>
        <w:tblBorders>
          <w:top w:val="single" w:color="D9E2E4" w:sz="2"/>
          <w:left w:val="none"/>
          <w:bottom w:val="single" w:color="D9E2E4" w:sz="2"/>
          <w:right w:val="none"/>
          <w:insideH w:val="single" w:color="D9E2E4" w:sz="2"/>
          <w:insideV w:val="none"/>
        </w:tblBorders>
      </w:tblPr>
      <w:tblGrid>
        <w:gridCol w:w="3456"/>
        <w:gridCol w:w="1944"/>
        <w:gridCol w:w="1944"/>
        <w:gridCol w:w="2016"/>
      </w:tblGrid>
      <w:tr>
        <w:trPr>
          <w:tblHeader/>
        </w:trPr>
        <w:tc>
          <w:tcPr>
            <w:tcW w:type="dxa" w:w="3456"/>
            <w:shd w:fill="064A56" w:color="auto" w:val="clear"/>
            <w:tcMar>
              <w:top w:type="dxa" w:w="70"/>
              <w:left w:type="dxa" w:w="110"/>
              <w:bottom w:type="dxa" w:w="70"/>
              <w:right w:type="dxa" w:w="110"/>
            </w:tcMar>
          </w:tcPr>
          <w:p>
            <w:pPr>
              <w:jc w:val="left"/>
            </w:pPr>
            <w:r>
              <w:rPr>
                <w:b/>
                <w:bCs/>
                <w:color w:val="FFFFFF"/>
                <w:sz w:val="19"/>
                <w:szCs w:val="19"/>
              </w:rPr>
              <w:t xml:space="preserve"/>
            </w:r>
          </w:p>
        </w:tc>
        <w:tc>
          <w:tcPr>
            <w:tcW w:type="dxa" w:w="1944"/>
            <w:shd w:fill="064A56" w:color="auto" w:val="clear"/>
            <w:tcMar>
              <w:top w:type="dxa" w:w="70"/>
              <w:left w:type="dxa" w:w="110"/>
              <w:bottom w:type="dxa" w:w="70"/>
              <w:right w:type="dxa" w:w="110"/>
            </w:tcMar>
          </w:tcPr>
          <w:p>
            <w:pPr>
              <w:jc w:val="right"/>
            </w:pPr>
            <w:r>
              <w:rPr>
                <w:b/>
                <w:bCs/>
                <w:color w:val="FFFFFF"/>
                <w:sz w:val="19"/>
                <w:szCs w:val="19"/>
              </w:rPr>
              <w:t xml:space="preserve">Lane median $/mile</w:t>
            </w:r>
          </w:p>
        </w:tc>
        <w:tc>
          <w:tcPr>
            <w:tcW w:type="dxa" w:w="1944"/>
            <w:shd w:fill="064A56" w:color="auto" w:val="clear"/>
            <w:tcMar>
              <w:top w:type="dxa" w:w="70"/>
              <w:left w:type="dxa" w:w="110"/>
              <w:bottom w:type="dxa" w:w="70"/>
              <w:right w:type="dxa" w:w="110"/>
            </w:tcMar>
          </w:tcPr>
          <w:p>
            <w:pPr>
              <w:jc w:val="right"/>
            </w:pPr>
            <w:r>
              <w:rPr>
                <w:b/>
                <w:bCs/>
                <w:color w:val="FFFFFF"/>
                <w:sz w:val="19"/>
                <w:szCs w:val="19"/>
              </w:rPr>
              <w:t xml:space="preserve">This model</w:t>
            </w:r>
          </w:p>
        </w:tc>
        <w:tc>
          <w:tcPr>
            <w:tcW w:type="dxa" w:w="2016"/>
            <w:shd w:fill="064A56" w:color="auto" w:val="clear"/>
            <w:tcMar>
              <w:top w:type="dxa" w:w="70"/>
              <w:left w:type="dxa" w:w="110"/>
              <w:bottom w:type="dxa" w:w="70"/>
              <w:right w:type="dxa" w:w="110"/>
            </w:tcMar>
          </w:tcPr>
          <w:p>
            <w:pPr>
              <w:jc w:val="right"/>
            </w:pPr>
            <w:r>
              <w:rPr>
                <w:b/>
                <w:bCs/>
                <w:color w:val="FFFFFF"/>
                <w:sz w:val="19"/>
                <w:szCs w:val="19"/>
              </w:rPr>
              <w:t xml:space="preserve">Improvement</w:t>
            </w:r>
          </w:p>
        </w:tc>
      </w:tr>
      <w:tr>
        <w:tc>
          <w:tcPr>
            <w:tcW w:type="dxa" w:w="3456"/>
            <w:tcMar>
              <w:top w:type="dxa" w:w="70"/>
              <w:left w:type="dxa" w:w="110"/>
              <w:bottom w:type="dxa" w:w="70"/>
              <w:right w:type="dxa" w:w="110"/>
            </w:tcMar>
          </w:tcPr>
          <w:p>
            <w:pPr>
              <w:jc w:val="left"/>
            </w:pPr>
            <w:r>
              <w:rPr>
                <w:b w:val="false"/>
                <w:bCs w:val="false"/>
                <w:color w:val="000000"/>
                <w:sz w:val="19"/>
                <w:szCs w:val="19"/>
              </w:rPr>
              <w:t xml:space="preserve">MAPE</w:t>
            </w:r>
          </w:p>
        </w:tc>
        <w:tc>
          <w:tcPr>
            <w:tcW w:type="dxa" w:w="1944"/>
            <w:tcMar>
              <w:top w:type="dxa" w:w="70"/>
              <w:left w:type="dxa" w:w="110"/>
              <w:bottom w:type="dxa" w:w="70"/>
              <w:right w:type="dxa" w:w="110"/>
            </w:tcMar>
          </w:tcPr>
          <w:p>
            <w:pPr>
              <w:jc w:val="right"/>
            </w:pPr>
            <w:r>
              <w:rPr>
                <w:b w:val="false"/>
                <w:bCs w:val="false"/>
                <w:color w:val="000000"/>
                <w:sz w:val="19"/>
                <w:szCs w:val="19"/>
              </w:rPr>
              <w:t xml:space="preserve">4.12%</w:t>
            </w:r>
          </w:p>
        </w:tc>
        <w:tc>
          <w:tcPr>
            <w:tcW w:type="dxa" w:w="1944"/>
            <w:tcMar>
              <w:top w:type="dxa" w:w="70"/>
              <w:left w:type="dxa" w:w="110"/>
              <w:bottom w:type="dxa" w:w="70"/>
              <w:right w:type="dxa" w:w="110"/>
            </w:tcMar>
          </w:tcPr>
          <w:p>
            <w:pPr>
              <w:jc w:val="right"/>
            </w:pPr>
            <w:r>
              <w:rPr>
                <w:b w:val="false"/>
                <w:bCs w:val="false"/>
                <w:color w:val="000000"/>
                <w:sz w:val="19"/>
                <w:szCs w:val="19"/>
              </w:rPr>
              <w:t xml:space="preserve">1.80%</w:t>
            </w:r>
          </w:p>
        </w:tc>
        <w:tc>
          <w:tcPr>
            <w:tcW w:type="dxa" w:w="2016"/>
            <w:tcMar>
              <w:top w:type="dxa" w:w="70"/>
              <w:left w:type="dxa" w:w="110"/>
              <w:bottom w:type="dxa" w:w="70"/>
              <w:right w:type="dxa" w:w="110"/>
            </w:tcMar>
          </w:tcPr>
          <w:p>
            <w:pPr>
              <w:jc w:val="right"/>
            </w:pPr>
            <w:r>
              <w:rPr>
                <w:b w:val="false"/>
                <w:bCs w:val="false"/>
                <w:color w:val="000000"/>
                <w:sz w:val="19"/>
                <w:szCs w:val="19"/>
              </w:rPr>
              <w:t xml:space="preserve">2.3× better</w:t>
            </w:r>
          </w:p>
        </w:tc>
      </w:tr>
      <w:tr>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MAE</w:t>
            </w:r>
          </w:p>
        </w:tc>
        <w:tc>
          <w:tcPr>
            <w:tcW w:type="dxa" w:w="1944"/>
            <w:shd w:fill="F4F7F8" w:color="auto" w:val="clear"/>
            <w:tcMar>
              <w:top w:type="dxa" w:w="70"/>
              <w:left w:type="dxa" w:w="110"/>
              <w:bottom w:type="dxa" w:w="70"/>
              <w:right w:type="dxa" w:w="110"/>
            </w:tcMar>
          </w:tcPr>
          <w:p>
            <w:pPr>
              <w:jc w:val="right"/>
            </w:pPr>
            <w:r>
              <w:rPr>
                <w:b w:val="false"/>
                <w:bCs w:val="false"/>
                <w:color w:val="000000"/>
                <w:sz w:val="19"/>
                <w:szCs w:val="19"/>
              </w:rPr>
              <w:t xml:space="preserve">$98.57</w:t>
            </w:r>
          </w:p>
        </w:tc>
        <w:tc>
          <w:tcPr>
            <w:tcW w:type="dxa" w:w="1944"/>
            <w:shd w:fill="F4F7F8" w:color="auto" w:val="clear"/>
            <w:tcMar>
              <w:top w:type="dxa" w:w="70"/>
              <w:left w:type="dxa" w:w="110"/>
              <w:bottom w:type="dxa" w:w="70"/>
              <w:right w:type="dxa" w:w="110"/>
            </w:tcMar>
          </w:tcPr>
          <w:p>
            <w:pPr>
              <w:jc w:val="right"/>
            </w:pPr>
            <w:r>
              <w:rPr>
                <w:b w:val="false"/>
                <w:bCs w:val="false"/>
                <w:color w:val="000000"/>
                <w:sz w:val="19"/>
                <w:szCs w:val="19"/>
              </w:rPr>
              <w:t xml:space="preserve">$43.69</w:t>
            </w:r>
          </w:p>
        </w:tc>
        <w:tc>
          <w:tcPr>
            <w:tcW w:type="dxa" w:w="2016"/>
            <w:shd w:fill="F4F7F8" w:color="auto" w:val="clear"/>
            <w:tcMar>
              <w:top w:type="dxa" w:w="70"/>
              <w:left w:type="dxa" w:w="110"/>
              <w:bottom w:type="dxa" w:w="70"/>
              <w:right w:type="dxa" w:w="110"/>
            </w:tcMar>
          </w:tcPr>
          <w:p>
            <w:pPr>
              <w:jc w:val="right"/>
            </w:pPr>
            <w:r>
              <w:rPr>
                <w:b w:val="false"/>
                <w:bCs w:val="false"/>
                <w:color w:val="000000"/>
                <w:sz w:val="19"/>
                <w:szCs w:val="19"/>
              </w:rPr>
              <w:t xml:space="preserve">2.3× better</w:t>
            </w:r>
          </w:p>
        </w:tc>
      </w:tr>
      <w:tr>
        <w:tc>
          <w:tcPr>
            <w:tcW w:type="dxa" w:w="3456"/>
            <w:tcMar>
              <w:top w:type="dxa" w:w="70"/>
              <w:left w:type="dxa" w:w="110"/>
              <w:bottom w:type="dxa" w:w="70"/>
              <w:right w:type="dxa" w:w="110"/>
            </w:tcMar>
          </w:tcPr>
          <w:p>
            <w:pPr>
              <w:jc w:val="left"/>
            </w:pPr>
            <w:r>
              <w:rPr>
                <w:b w:val="false"/>
                <w:bCs w:val="false"/>
                <w:color w:val="000000"/>
                <w:sz w:val="19"/>
                <w:szCs w:val="19"/>
              </w:rPr>
              <w:t xml:space="preserve">RMSE</w:t>
            </w:r>
          </w:p>
        </w:tc>
        <w:tc>
          <w:tcPr>
            <w:tcW w:type="dxa" w:w="1944"/>
            <w:tcMar>
              <w:top w:type="dxa" w:w="70"/>
              <w:left w:type="dxa" w:w="110"/>
              <w:bottom w:type="dxa" w:w="70"/>
              <w:right w:type="dxa" w:w="110"/>
            </w:tcMar>
          </w:tcPr>
          <w:p>
            <w:pPr>
              <w:jc w:val="right"/>
            </w:pPr>
            <w:r>
              <w:rPr>
                <w:b w:val="false"/>
                <w:bCs w:val="false"/>
                <w:color w:val="000000"/>
                <w:sz w:val="19"/>
                <w:szCs w:val="19"/>
              </w:rPr>
              <w:t xml:space="preserve">$216.10</w:t>
            </w:r>
          </w:p>
        </w:tc>
        <w:tc>
          <w:tcPr>
            <w:tcW w:type="dxa" w:w="1944"/>
            <w:tcMar>
              <w:top w:type="dxa" w:w="70"/>
              <w:left w:type="dxa" w:w="110"/>
              <w:bottom w:type="dxa" w:w="70"/>
              <w:right w:type="dxa" w:w="110"/>
            </w:tcMar>
          </w:tcPr>
          <w:p>
            <w:pPr>
              <w:jc w:val="right"/>
            </w:pPr>
            <w:r>
              <w:rPr>
                <w:b w:val="false"/>
                <w:bCs w:val="false"/>
                <w:color w:val="000000"/>
                <w:sz w:val="19"/>
                <w:szCs w:val="19"/>
              </w:rPr>
              <w:t xml:space="preserve">$168.91</w:t>
            </w:r>
          </w:p>
        </w:tc>
        <w:tc>
          <w:tcPr>
            <w:tcW w:type="dxa" w:w="2016"/>
            <w:tcMar>
              <w:top w:type="dxa" w:w="70"/>
              <w:left w:type="dxa" w:w="110"/>
              <w:bottom w:type="dxa" w:w="70"/>
              <w:right w:type="dxa" w:w="110"/>
            </w:tcMar>
          </w:tcPr>
          <w:p>
            <w:pPr>
              <w:jc w:val="right"/>
            </w:pPr>
            <w:r>
              <w:rPr>
                <w:b w:val="false"/>
                <w:bCs w:val="false"/>
                <w:color w:val="000000"/>
                <w:sz w:val="19"/>
                <w:szCs w:val="19"/>
              </w:rPr>
              <w:t xml:space="preserve">1.3× better</w:t>
            </w:r>
          </w:p>
        </w:tc>
      </w:tr>
      <w:tr>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R²</w:t>
            </w:r>
          </w:p>
        </w:tc>
        <w:tc>
          <w:tcPr>
            <w:tcW w:type="dxa" w:w="1944"/>
            <w:shd w:fill="F4F7F8" w:color="auto" w:val="clear"/>
            <w:tcMar>
              <w:top w:type="dxa" w:w="70"/>
              <w:left w:type="dxa" w:w="110"/>
              <w:bottom w:type="dxa" w:w="70"/>
              <w:right w:type="dxa" w:w="110"/>
            </w:tcMar>
          </w:tcPr>
          <w:p>
            <w:pPr>
              <w:jc w:val="right"/>
            </w:pPr>
            <w:r>
              <w:rPr>
                <w:b w:val="false"/>
                <w:bCs w:val="false"/>
                <w:color w:val="000000"/>
                <w:sz w:val="19"/>
                <w:szCs w:val="19"/>
              </w:rPr>
              <w:t xml:space="preserve">0.975</w:t>
            </w:r>
          </w:p>
        </w:tc>
        <w:tc>
          <w:tcPr>
            <w:tcW w:type="dxa" w:w="1944"/>
            <w:shd w:fill="F4F7F8" w:color="auto" w:val="clear"/>
            <w:tcMar>
              <w:top w:type="dxa" w:w="70"/>
              <w:left w:type="dxa" w:w="110"/>
              <w:bottom w:type="dxa" w:w="70"/>
              <w:right w:type="dxa" w:w="110"/>
            </w:tcMar>
          </w:tcPr>
          <w:p>
            <w:pPr>
              <w:jc w:val="right"/>
            </w:pPr>
            <w:r>
              <w:rPr>
                <w:b w:val="false"/>
                <w:bCs w:val="false"/>
                <w:color w:val="000000"/>
                <w:sz w:val="19"/>
                <w:szCs w:val="19"/>
              </w:rPr>
              <w:t xml:space="preserve">0.985</w:t>
            </w:r>
          </w:p>
        </w:tc>
        <w:tc>
          <w:tcPr>
            <w:tcW w:type="dxa" w:w="2016"/>
            <w:shd w:fill="F4F7F8" w:color="auto" w:val="clear"/>
            <w:tcMar>
              <w:top w:type="dxa" w:w="70"/>
              <w:left w:type="dxa" w:w="110"/>
              <w:bottom w:type="dxa" w:w="70"/>
              <w:right w:type="dxa" w:w="110"/>
            </w:tcMar>
          </w:tcPr>
          <w:p>
            <w:pPr>
              <w:jc w:val="right"/>
            </w:pPr>
            <w:r>
              <w:rPr>
                <w:b w:val="false"/>
                <w:bCs w:val="false"/>
                <w:color w:val="000000"/>
                <w:sz w:val="19"/>
                <w:szCs w:val="19"/>
              </w:rPr>
              <w:t xml:space="preserve">—</w:t>
            </w:r>
          </w:p>
        </w:tc>
      </w:tr>
      <w:tr>
        <w:tc>
          <w:tcPr>
            <w:tcW w:type="dxa" w:w="3456"/>
            <w:tcMar>
              <w:top w:type="dxa" w:w="70"/>
              <w:left w:type="dxa" w:w="110"/>
              <w:bottom w:type="dxa" w:w="70"/>
              <w:right w:type="dxa" w:w="110"/>
            </w:tcMar>
          </w:tcPr>
          <w:p>
            <w:pPr>
              <w:jc w:val="left"/>
            </w:pPr>
            <w:r>
              <w:rPr>
                <w:b w:val="false"/>
                <w:bCs w:val="false"/>
                <w:color w:val="000000"/>
                <w:sz w:val="19"/>
                <w:szCs w:val="19"/>
              </w:rPr>
              <w:t xml:space="preserve">Mean predicted / actual</w:t>
            </w:r>
          </w:p>
        </w:tc>
        <w:tc>
          <w:tcPr>
            <w:tcW w:type="dxa" w:w="1944"/>
            <w:tcMar>
              <w:top w:type="dxa" w:w="70"/>
              <w:left w:type="dxa" w:w="110"/>
              <w:bottom w:type="dxa" w:w="70"/>
              <w:right w:type="dxa" w:w="110"/>
            </w:tcMar>
          </w:tcPr>
          <w:p>
            <w:pPr>
              <w:jc w:val="right"/>
            </w:pPr>
            <w:r>
              <w:rPr>
                <w:b w:val="false"/>
                <w:bCs w:val="false"/>
                <w:color w:val="000000"/>
                <w:sz w:val="19"/>
                <w:szCs w:val="19"/>
              </w:rPr>
              <w:t xml:space="preserve">0.996</w:t>
            </w:r>
          </w:p>
        </w:tc>
        <w:tc>
          <w:tcPr>
            <w:tcW w:type="dxa" w:w="1944"/>
            <w:tcMar>
              <w:top w:type="dxa" w:w="70"/>
              <w:left w:type="dxa" w:w="110"/>
              <w:bottom w:type="dxa" w:w="70"/>
              <w:right w:type="dxa" w:w="110"/>
            </w:tcMar>
          </w:tcPr>
          <w:p>
            <w:pPr>
              <w:jc w:val="right"/>
            </w:pPr>
            <w:r>
              <w:rPr>
                <w:b w:val="false"/>
                <w:bCs w:val="false"/>
                <w:color w:val="000000"/>
                <w:sz w:val="19"/>
                <w:szCs w:val="19"/>
              </w:rPr>
              <w:t xml:space="preserve">0.997</w:t>
            </w:r>
          </w:p>
        </w:tc>
        <w:tc>
          <w:tcPr>
            <w:tcW w:type="dxa" w:w="2016"/>
            <w:tcMar>
              <w:top w:type="dxa" w:w="70"/>
              <w:left w:type="dxa" w:w="110"/>
              <w:bottom w:type="dxa" w:w="70"/>
              <w:right w:type="dxa" w:w="110"/>
            </w:tcMar>
          </w:tcPr>
          <w:p>
            <w:pPr>
              <w:jc w:val="right"/>
            </w:pPr>
            <w:r>
              <w:rPr>
                <w:b w:val="false"/>
                <w:bCs w:val="false"/>
                <w:color w:val="000000"/>
                <w:sz w:val="19"/>
                <w:szCs w:val="19"/>
              </w:rPr>
              <w:t xml:space="preserve">—</w:t>
            </w:r>
          </w:p>
        </w:tc>
      </w:tr>
    </w:tbl>
    <w:p>
      <w:pPr>
        <w:spacing w:after="220"/>
        <w:jc w:val="center"/>
      </w:pPr>
      <w:r>
        <w:rPr>
          <w:i/>
          <w:iCs/>
          <w:color w:val="455A60"/>
          <w:sz w:val="17"/>
          <w:szCs w:val="17"/>
        </w:rPr>
        <w:t xml:space="preserve">Averaged over three cut-offs (1 Jul, 1 Aug, 1 Sep 2025), each scored on the following 61 days.</w:t>
      </w:r>
    </w:p>
    <w:p>
      <w:pPr>
        <w:spacing w:after="130" w:line="276"/>
      </w:pPr>
      <w:r>
        <w:rPr>
          <w:sz w:val="21"/>
          <w:szCs w:val="21"/>
        </w:rPr>
        <w:t xml:space="preserve">For scale: predicting </w:t>
      </w:r>
      <w:r>
        <w:rPr>
          <w:i/>
          <w:iCs/>
          <w:sz w:val="21"/>
          <w:szCs w:val="21"/>
        </w:rPr>
        <w:t xml:space="preserve">inside</w:t>
      </w:r>
      <w:r>
        <w:rPr>
          <w:sz w:val="21"/>
          <w:szCs w:val="21"/>
        </w:rPr>
        <w:t xml:space="preserve"> the training period with a random split — the easiest possible version of the task — gives 1.60% MAPE. The forecast is within 0.2 points of that noise floor, so most of the error that remains is irreducible.</w:t>
      </w:r>
    </w:p>
    <w:p>
      <w:pPr>
        <w:pStyle w:val="Heading1"/>
        <w:spacing w:after="140" w:before="320"/>
      </w:pPr>
      <w:r>
        <w:rPr>
          <w:b/>
          <w:bCs/>
          <w:color w:val="064A56"/>
          <w:sz w:val="26"/>
          <w:szCs w:val="26"/>
        </w:rPr>
        <w:t xml:space="preserve">2. The data</w:t>
      </w:r>
    </w:p>
    <w:tbl>
      <w:tblPr>
        <w:tblW w:type="dxa" w:w="9360"/>
        <w:tblBorders>
          <w:top w:val="single" w:color="D9E2E4" w:sz="2"/>
          <w:left w:val="none"/>
          <w:bottom w:val="single" w:color="D9E2E4" w:sz="2"/>
          <w:right w:val="none"/>
          <w:insideH w:val="single" w:color="D9E2E4" w:sz="2"/>
          <w:insideV w:val="none"/>
        </w:tblBorders>
      </w:tblPr>
      <w:tblGrid>
        <w:gridCol w:w="2448"/>
        <w:gridCol w:w="3456"/>
        <w:gridCol w:w="3456"/>
      </w:tblGrid>
      <w:tr>
        <w:trPr>
          <w:tblHeader/>
        </w:trPr>
        <w:tc>
          <w:tcPr>
            <w:tcW w:type="dxa" w:w="2448"/>
            <w:shd w:fill="064A56" w:color="auto" w:val="clear"/>
            <w:tcMar>
              <w:top w:type="dxa" w:w="70"/>
              <w:left w:type="dxa" w:w="110"/>
              <w:bottom w:type="dxa" w:w="70"/>
              <w:right w:type="dxa" w:w="110"/>
            </w:tcMar>
          </w:tcPr>
          <w:p>
            <w:pPr>
              <w:jc w:val="left"/>
            </w:pPr>
            <w:r>
              <w:rPr>
                <w:b/>
                <w:bCs/>
                <w:color w:val="FFFFFF"/>
                <w:sz w:val="19"/>
                <w:szCs w:val="19"/>
              </w:rPr>
              <w:t xml:space="preserve"/>
            </w:r>
          </w:p>
        </w:tc>
        <w:tc>
          <w:tcPr>
            <w:tcW w:type="dxa" w:w="3456"/>
            <w:shd w:fill="064A56" w:color="auto" w:val="clear"/>
            <w:tcMar>
              <w:top w:type="dxa" w:w="70"/>
              <w:left w:type="dxa" w:w="110"/>
              <w:bottom w:type="dxa" w:w="70"/>
              <w:right w:type="dxa" w:w="110"/>
            </w:tcMar>
          </w:tcPr>
          <w:p>
            <w:pPr>
              <w:jc w:val="left"/>
            </w:pPr>
            <w:r>
              <w:rPr>
                <w:b/>
                <w:bCs/>
                <w:color w:val="FFFFFF"/>
                <w:sz w:val="19"/>
                <w:szCs w:val="19"/>
              </w:rPr>
              <w:t xml:space="preserve">train_test.csv</w:t>
            </w:r>
          </w:p>
        </w:tc>
        <w:tc>
          <w:tcPr>
            <w:tcW w:type="dxa" w:w="3456"/>
            <w:shd w:fill="064A56" w:color="auto" w:val="clear"/>
            <w:tcMar>
              <w:top w:type="dxa" w:w="70"/>
              <w:left w:type="dxa" w:w="110"/>
              <w:bottom w:type="dxa" w:w="70"/>
              <w:right w:type="dxa" w:w="110"/>
            </w:tcMar>
          </w:tcPr>
          <w:p>
            <w:pPr>
              <w:jc w:val="left"/>
            </w:pPr>
            <w:r>
              <w:rPr>
                <w:b/>
                <w:bCs/>
                <w:color w:val="FFFFFF"/>
                <w:sz w:val="19"/>
                <w:szCs w:val="19"/>
              </w:rPr>
              <w:t xml:space="preserve">validation.csv</w:t>
            </w:r>
          </w:p>
        </w:tc>
      </w:tr>
      <w:tr>
        <w:tc>
          <w:tcPr>
            <w:tcW w:type="dxa" w:w="2448"/>
            <w:tcMar>
              <w:top w:type="dxa" w:w="70"/>
              <w:left w:type="dxa" w:w="110"/>
              <w:bottom w:type="dxa" w:w="70"/>
              <w:right w:type="dxa" w:w="110"/>
            </w:tcMar>
          </w:tcPr>
          <w:p>
            <w:pPr>
              <w:jc w:val="left"/>
            </w:pPr>
            <w:r>
              <w:rPr>
                <w:b w:val="false"/>
                <w:bCs w:val="false"/>
                <w:color w:val="000000"/>
                <w:sz w:val="19"/>
                <w:szCs w:val="19"/>
              </w:rPr>
              <w:t xml:space="preserve">Loads</w:t>
            </w:r>
          </w:p>
        </w:tc>
        <w:tc>
          <w:tcPr>
            <w:tcW w:type="dxa" w:w="3456"/>
            <w:tcMar>
              <w:top w:type="dxa" w:w="70"/>
              <w:left w:type="dxa" w:w="110"/>
              <w:bottom w:type="dxa" w:w="70"/>
              <w:right w:type="dxa" w:w="110"/>
            </w:tcMar>
          </w:tcPr>
          <w:p>
            <w:pPr>
              <w:jc w:val="left"/>
            </w:pPr>
            <w:r>
              <w:rPr>
                <w:b w:val="false"/>
                <w:bCs w:val="false"/>
                <w:color w:val="000000"/>
                <w:sz w:val="19"/>
                <w:szCs w:val="19"/>
              </w:rPr>
              <w:t xml:space="preserve">48,000</w:t>
            </w:r>
          </w:p>
        </w:tc>
        <w:tc>
          <w:tcPr>
            <w:tcW w:type="dxa" w:w="3456"/>
            <w:tcMar>
              <w:top w:type="dxa" w:w="70"/>
              <w:left w:type="dxa" w:w="110"/>
              <w:bottom w:type="dxa" w:w="70"/>
              <w:right w:type="dxa" w:w="110"/>
            </w:tcMar>
          </w:tcPr>
          <w:p>
            <w:pPr>
              <w:jc w:val="left"/>
            </w:pPr>
            <w:r>
              <w:rPr>
                <w:b w:val="false"/>
                <w:bCs w:val="false"/>
                <w:color w:val="000000"/>
                <w:sz w:val="19"/>
                <w:szCs w:val="19"/>
              </w:rPr>
              <w:t xml:space="preserve">12,000</w:t>
            </w:r>
          </w:p>
        </w:tc>
      </w:tr>
      <w:tr>
        <w:tc>
          <w:tcPr>
            <w:tcW w:type="dxa" w:w="2448"/>
            <w:shd w:fill="F4F7F8" w:color="auto" w:val="clear"/>
            <w:tcMar>
              <w:top w:type="dxa" w:w="70"/>
              <w:left w:type="dxa" w:w="110"/>
              <w:bottom w:type="dxa" w:w="70"/>
              <w:right w:type="dxa" w:w="110"/>
            </w:tcMar>
          </w:tcPr>
          <w:p>
            <w:pPr>
              <w:jc w:val="left"/>
            </w:pPr>
            <w:r>
              <w:rPr>
                <w:b w:val="false"/>
                <w:bCs w:val="false"/>
                <w:color w:val="000000"/>
                <w:sz w:val="19"/>
                <w:szCs w:val="19"/>
              </w:rPr>
              <w:t xml:space="preserve">Dates</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2025-01-01 → 2025-10-31</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2025-11-01 → 2025-12-31</w:t>
            </w:r>
          </w:p>
        </w:tc>
      </w:tr>
      <w:tr>
        <w:tc>
          <w:tcPr>
            <w:tcW w:type="dxa" w:w="2448"/>
            <w:tcMar>
              <w:top w:type="dxa" w:w="70"/>
              <w:left w:type="dxa" w:w="110"/>
              <w:bottom w:type="dxa" w:w="70"/>
              <w:right w:type="dxa" w:w="110"/>
            </w:tcMar>
          </w:tcPr>
          <w:p>
            <w:pPr>
              <w:jc w:val="left"/>
            </w:pPr>
            <w:r>
              <w:rPr>
                <w:b w:val="false"/>
                <w:bCs w:val="false"/>
                <w:color w:val="000000"/>
                <w:sz w:val="19"/>
                <w:szCs w:val="19"/>
              </w:rPr>
              <w:t xml:space="preserve">Label</w:t>
            </w:r>
          </w:p>
        </w:tc>
        <w:tc>
          <w:tcPr>
            <w:tcW w:type="dxa" w:w="3456"/>
            <w:tcMar>
              <w:top w:type="dxa" w:w="70"/>
              <w:left w:type="dxa" w:w="110"/>
              <w:bottom w:type="dxa" w:w="70"/>
              <w:right w:type="dxa" w:w="110"/>
            </w:tcMar>
          </w:tcPr>
          <w:p>
            <w:pPr>
              <w:jc w:val="left"/>
            </w:pPr>
            <w:r>
              <w:rPr>
                <w:b w:val="false"/>
                <w:bCs w:val="false"/>
                <w:color w:val="000000"/>
                <w:sz w:val="19"/>
                <w:szCs w:val="19"/>
              </w:rPr>
              <w:t xml:space="preserve">posted_rate</w:t>
            </w:r>
          </w:p>
        </w:tc>
        <w:tc>
          <w:tcPr>
            <w:tcW w:type="dxa" w:w="3456"/>
            <w:tcMar>
              <w:top w:type="dxa" w:w="70"/>
              <w:left w:type="dxa" w:w="110"/>
              <w:bottom w:type="dxa" w:w="70"/>
              <w:right w:type="dxa" w:w="110"/>
            </w:tcMar>
          </w:tcPr>
          <w:p>
            <w:pPr>
              <w:jc w:val="left"/>
            </w:pPr>
            <w:r>
              <w:rPr>
                <w:b w:val="false"/>
                <w:bCs w:val="false"/>
                <w:color w:val="000000"/>
                <w:sz w:val="19"/>
                <w:szCs w:val="19"/>
              </w:rPr>
              <w:t xml:space="preserve">— (to predict)</w:t>
            </w:r>
          </w:p>
        </w:tc>
      </w:tr>
      <w:tr>
        <w:tc>
          <w:tcPr>
            <w:tcW w:type="dxa" w:w="2448"/>
            <w:shd w:fill="F4F7F8" w:color="auto" w:val="clear"/>
            <w:tcMar>
              <w:top w:type="dxa" w:w="70"/>
              <w:left w:type="dxa" w:w="110"/>
              <w:bottom w:type="dxa" w:w="70"/>
              <w:right w:type="dxa" w:w="110"/>
            </w:tcMar>
          </w:tcPr>
          <w:p>
            <w:pPr>
              <w:jc w:val="left"/>
            </w:pPr>
            <w:r>
              <w:rPr>
                <w:b w:val="false"/>
                <w:bCs w:val="false"/>
                <w:color w:val="000000"/>
                <w:sz w:val="19"/>
                <w:szCs w:val="19"/>
              </w:rPr>
              <w:t xml:space="preserve">Cities</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64</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72 (8 never seen in training)</w:t>
            </w:r>
          </w:p>
        </w:tc>
      </w:tr>
      <w:tr>
        <w:tc>
          <w:tcPr>
            <w:tcW w:type="dxa" w:w="2448"/>
            <w:tcMar>
              <w:top w:type="dxa" w:w="70"/>
              <w:left w:type="dxa" w:w="110"/>
              <w:bottom w:type="dxa" w:w="70"/>
              <w:right w:type="dxa" w:w="110"/>
            </w:tcMar>
          </w:tcPr>
          <w:p>
            <w:pPr>
              <w:jc w:val="left"/>
            </w:pPr>
            <w:r>
              <w:rPr>
                <w:b w:val="false"/>
                <w:bCs w:val="false"/>
                <w:color w:val="000000"/>
                <w:sz w:val="19"/>
                <w:szCs w:val="19"/>
              </w:rPr>
              <w:t xml:space="preserve">Lanes</w:t>
            </w:r>
          </w:p>
        </w:tc>
        <w:tc>
          <w:tcPr>
            <w:tcW w:type="dxa" w:w="3456"/>
            <w:tcMar>
              <w:top w:type="dxa" w:w="70"/>
              <w:left w:type="dxa" w:w="110"/>
              <w:bottom w:type="dxa" w:w="70"/>
              <w:right w:type="dxa" w:w="110"/>
            </w:tcMar>
          </w:tcPr>
          <w:p>
            <w:pPr>
              <w:jc w:val="left"/>
            </w:pPr>
            <w:r>
              <w:rPr>
                <w:b w:val="false"/>
                <w:bCs w:val="false"/>
                <w:color w:val="000000"/>
                <w:sz w:val="19"/>
                <w:szCs w:val="19"/>
              </w:rPr>
              <w:t xml:space="preserve">4,014</w:t>
            </w:r>
          </w:p>
        </w:tc>
        <w:tc>
          <w:tcPr>
            <w:tcW w:type="dxa" w:w="3456"/>
            <w:tcMar>
              <w:top w:type="dxa" w:w="70"/>
              <w:left w:type="dxa" w:w="110"/>
              <w:bottom w:type="dxa" w:w="70"/>
              <w:right w:type="dxa" w:w="110"/>
            </w:tcMar>
          </w:tcPr>
          <w:p>
            <w:pPr>
              <w:jc w:val="left"/>
            </w:pPr>
            <w:r>
              <w:rPr>
                <w:b w:val="false"/>
                <w:bCs w:val="false"/>
                <w:color w:val="000000"/>
                <w:sz w:val="19"/>
                <w:szCs w:val="19"/>
              </w:rPr>
              <w:t xml:space="preserve">4,214 (736 never seen)</w:t>
            </w:r>
          </w:p>
        </w:tc>
      </w:tr>
      <w:tr>
        <w:tc>
          <w:tcPr>
            <w:tcW w:type="dxa" w:w="2448"/>
            <w:shd w:fill="F4F7F8" w:color="auto" w:val="clear"/>
            <w:tcMar>
              <w:top w:type="dxa" w:w="70"/>
              <w:left w:type="dxa" w:w="110"/>
              <w:bottom w:type="dxa" w:w="70"/>
              <w:right w:type="dxa" w:w="110"/>
            </w:tcMar>
          </w:tcPr>
          <w:p>
            <w:pPr>
              <w:jc w:val="left"/>
            </w:pPr>
            <w:r>
              <w:rPr>
                <w:b w:val="false"/>
                <w:bCs w:val="false"/>
                <w:color w:val="000000"/>
                <w:sz w:val="19"/>
                <w:szCs w:val="19"/>
              </w:rPr>
              <w:t xml:space="preserve">Equipment</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Dry Van 57%, Reefer 25%, Flatbed 18%</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Dry Van 57%, Reefer 25%, Flatbed 18%</w:t>
            </w:r>
          </w:p>
        </w:tc>
      </w:tr>
    </w:tbl>
    <w:p>
      <w:pPr>
        <w:spacing w:after="220"/>
        <w:jc w:val="center"/>
      </w:pPr>
      <w:r>
        <w:rPr>
          <w:i/>
          <w:iCs/>
          <w:color w:val="455A60"/>
          <w:sz w:val="17"/>
          <w:szCs w:val="17"/>
        </w:rPr>
        <w:t xml:space="preserve">The eight unseen cities and 736 unseen lanes are the reason the model leans on coordinates rather than city names.</w:t>
      </w:r>
    </w:p>
    <w:p>
      <w:pPr>
        <w:pStyle w:val="Heading1"/>
        <w:spacing w:after="140" w:before="320"/>
      </w:pPr>
      <w:r>
        <w:rPr>
          <w:b/>
          <w:bCs/>
          <w:color w:val="064A56"/>
          <w:sz w:val="26"/>
          <w:szCs w:val="26"/>
        </w:rPr>
        <w:t xml:space="preserve">3. Data-quality issues found, and what I did</w:t>
      </w:r>
    </w:p>
    <w:tbl>
      <w:tblPr>
        <w:tblW w:type="dxa" w:w="9360"/>
        <w:tblBorders>
          <w:top w:val="single" w:color="D9E2E4" w:sz="2"/>
          <w:left w:val="none"/>
          <w:bottom w:val="single" w:color="D9E2E4" w:sz="2"/>
          <w:right w:val="none"/>
          <w:insideH w:val="single" w:color="D9E2E4" w:sz="2"/>
          <w:insideV w:val="none"/>
        </w:tblBorders>
      </w:tblPr>
      <w:tblGrid>
        <w:gridCol w:w="2736"/>
        <w:gridCol w:w="3456"/>
        <w:gridCol w:w="3168"/>
      </w:tblGrid>
      <w:tr>
        <w:trPr>
          <w:tblHeader/>
        </w:trPr>
        <w:tc>
          <w:tcPr>
            <w:tcW w:type="dxa" w:w="2736"/>
            <w:shd w:fill="064A56" w:color="auto" w:val="clear"/>
            <w:tcMar>
              <w:top w:type="dxa" w:w="70"/>
              <w:left w:type="dxa" w:w="110"/>
              <w:bottom w:type="dxa" w:w="70"/>
              <w:right w:type="dxa" w:w="110"/>
            </w:tcMar>
          </w:tcPr>
          <w:p>
            <w:pPr>
              <w:jc w:val="left"/>
            </w:pPr>
            <w:r>
              <w:rPr>
                <w:b/>
                <w:bCs/>
                <w:color w:val="FFFFFF"/>
                <w:sz w:val="19"/>
                <w:szCs w:val="19"/>
              </w:rPr>
              <w:t xml:space="preserve">Issue</w:t>
            </w:r>
          </w:p>
        </w:tc>
        <w:tc>
          <w:tcPr>
            <w:tcW w:type="dxa" w:w="3456"/>
            <w:shd w:fill="064A56" w:color="auto" w:val="clear"/>
            <w:tcMar>
              <w:top w:type="dxa" w:w="70"/>
              <w:left w:type="dxa" w:w="110"/>
              <w:bottom w:type="dxa" w:w="70"/>
              <w:right w:type="dxa" w:w="110"/>
            </w:tcMar>
          </w:tcPr>
          <w:p>
            <w:pPr>
              <w:jc w:val="left"/>
            </w:pPr>
            <w:r>
              <w:rPr>
                <w:b/>
                <w:bCs/>
                <w:color w:val="FFFFFF"/>
                <w:sz w:val="19"/>
                <w:szCs w:val="19"/>
              </w:rPr>
              <w:t xml:space="preserve">What it looks like</w:t>
            </w:r>
          </w:p>
        </w:tc>
        <w:tc>
          <w:tcPr>
            <w:tcW w:type="dxa" w:w="3168"/>
            <w:shd w:fill="064A56" w:color="auto" w:val="clear"/>
            <w:tcMar>
              <w:top w:type="dxa" w:w="70"/>
              <w:left w:type="dxa" w:w="110"/>
              <w:bottom w:type="dxa" w:w="70"/>
              <w:right w:type="dxa" w:w="110"/>
            </w:tcMar>
          </w:tcPr>
          <w:p>
            <w:pPr>
              <w:jc w:val="left"/>
            </w:pPr>
            <w:r>
              <w:rPr>
                <w:b/>
                <w:bCs/>
                <w:color w:val="FFFFFF"/>
                <w:sz w:val="19"/>
                <w:szCs w:val="19"/>
              </w:rPr>
              <w:t xml:space="preserve">Treatment</w:t>
            </w:r>
          </w:p>
        </w:tc>
      </w:tr>
      <w:tr>
        <w:tc>
          <w:tcPr>
            <w:tcW w:type="dxa" w:w="2736"/>
            <w:tcMar>
              <w:top w:type="dxa" w:w="70"/>
              <w:left w:type="dxa" w:w="110"/>
              <w:bottom w:type="dxa" w:w="70"/>
              <w:right w:type="dxa" w:w="110"/>
            </w:tcMar>
          </w:tcPr>
          <w:p>
            <w:pPr>
              <w:jc w:val="left"/>
            </w:pPr>
            <w:r>
              <w:rPr>
                <w:b w:val="false"/>
                <w:bCs w:val="false"/>
                <w:color w:val="000000"/>
                <w:sz w:val="19"/>
                <w:szCs w:val="19"/>
              </w:rPr>
              <w:t xml:space="preserve">Sign-flipped weights</w:t>
            </w:r>
          </w:p>
        </w:tc>
        <w:tc>
          <w:tcPr>
            <w:tcW w:type="dxa" w:w="3456"/>
            <w:tcMar>
              <w:top w:type="dxa" w:w="70"/>
              <w:left w:type="dxa" w:w="110"/>
              <w:bottom w:type="dxa" w:w="70"/>
              <w:right w:type="dxa" w:w="110"/>
            </w:tcMar>
          </w:tcPr>
          <w:p>
            <w:pPr>
              <w:jc w:val="left"/>
            </w:pPr>
            <w:r>
              <w:rPr>
                <w:b w:val="false"/>
                <w:bCs w:val="false"/>
                <w:color w:val="000000"/>
                <w:sz w:val="19"/>
                <w:szCs w:val="19"/>
              </w:rPr>
              <w:t xml:space="preserve">292 train / 145 validation rows with weight between −47,500 and −8,000 lb; the magnitudes are perfectly normal</w:t>
            </w:r>
          </w:p>
        </w:tc>
        <w:tc>
          <w:tcPr>
            <w:tcW w:type="dxa" w:w="3168"/>
            <w:tcMar>
              <w:top w:type="dxa" w:w="70"/>
              <w:left w:type="dxa" w:w="110"/>
              <w:bottom w:type="dxa" w:w="70"/>
              <w:right w:type="dxa" w:w="110"/>
            </w:tcMar>
          </w:tcPr>
          <w:p>
            <w:pPr>
              <w:jc w:val="left"/>
            </w:pPr>
            <w:r>
              <w:rPr>
                <w:b w:val="false"/>
                <w:bCs w:val="false"/>
                <w:color w:val="000000"/>
                <w:sz w:val="19"/>
                <w:szCs w:val="19"/>
              </w:rPr>
              <w:t xml:space="preserve">abs() — read as a data-entry sign error rather than dropped</w:t>
            </w:r>
          </w:p>
        </w:tc>
      </w:tr>
      <w:tr>
        <w:tc>
          <w:tcPr>
            <w:tcW w:type="dxa" w:w="2736"/>
            <w:shd w:fill="F4F7F8" w:color="auto" w:val="clear"/>
            <w:tcMar>
              <w:top w:type="dxa" w:w="70"/>
              <w:left w:type="dxa" w:w="110"/>
              <w:bottom w:type="dxa" w:w="70"/>
              <w:right w:type="dxa" w:w="110"/>
            </w:tcMar>
          </w:tcPr>
          <w:p>
            <w:pPr>
              <w:jc w:val="left"/>
            </w:pPr>
            <w:r>
              <w:rPr>
                <w:b w:val="false"/>
                <w:bCs w:val="false"/>
                <w:color w:val="000000"/>
                <w:sz w:val="19"/>
                <w:szCs w:val="19"/>
              </w:rPr>
              <w:t xml:space="preserve">Missing values</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weight missing on 300 / 165 rows, market_index on 374 / 249</w:t>
            </w:r>
          </w:p>
        </w:tc>
        <w:tc>
          <w:tcPr>
            <w:tcW w:type="dxa" w:w="3168"/>
            <w:shd w:fill="F4F7F8" w:color="auto" w:val="clear"/>
            <w:tcMar>
              <w:top w:type="dxa" w:w="70"/>
              <w:left w:type="dxa" w:w="110"/>
              <w:bottom w:type="dxa" w:w="70"/>
              <w:right w:type="dxa" w:w="110"/>
            </w:tcMar>
          </w:tcPr>
          <w:p>
            <w:pPr>
              <w:jc w:val="left"/>
            </w:pPr>
            <w:r>
              <w:rPr>
                <w:b w:val="false"/>
                <w:bCs w:val="false"/>
                <w:color w:val="000000"/>
                <w:sz w:val="19"/>
                <w:szCs w:val="19"/>
              </w:rPr>
              <w:t xml:space="preserve">weight left as NaN (the booster routes missing values natively) plus a missing-flag; market_index filled with that day's market level</w:t>
            </w:r>
          </w:p>
        </w:tc>
      </w:tr>
      <w:tr>
        <w:tc>
          <w:tcPr>
            <w:tcW w:type="dxa" w:w="2736"/>
            <w:tcMar>
              <w:top w:type="dxa" w:w="70"/>
              <w:left w:type="dxa" w:w="110"/>
              <w:bottom w:type="dxa" w:w="70"/>
              <w:right w:type="dxa" w:w="110"/>
            </w:tcMar>
          </w:tcPr>
          <w:p>
            <w:pPr>
              <w:jc w:val="left"/>
            </w:pPr>
            <w:r>
              <w:rPr>
                <w:b w:val="false"/>
                <w:bCs w:val="false"/>
                <w:color w:val="000000"/>
                <w:sz w:val="19"/>
                <w:szCs w:val="19"/>
              </w:rPr>
              <w:t xml:space="preserve">Corrupted labels</w:t>
            </w:r>
          </w:p>
        </w:tc>
        <w:tc>
          <w:tcPr>
            <w:tcW w:type="dxa" w:w="3456"/>
            <w:tcMar>
              <w:top w:type="dxa" w:w="70"/>
              <w:left w:type="dxa" w:w="110"/>
              <w:bottom w:type="dxa" w:w="70"/>
              <w:right w:type="dxa" w:w="110"/>
            </w:tcMar>
          </w:tcPr>
          <w:p>
            <w:pPr>
              <w:jc w:val="left"/>
            </w:pPr>
            <w:r>
              <w:rPr>
                <w:b w:val="false"/>
                <w:bCs w:val="false"/>
                <w:color w:val="000000"/>
                <w:sz w:val="19"/>
                <w:szCs w:val="19"/>
              </w:rPr>
              <w:t xml:space="preserve">~1.3% of posted_rate values are 3–6× or 0.17–0.4× the normal rate for that lane</w:t>
            </w:r>
          </w:p>
        </w:tc>
        <w:tc>
          <w:tcPr>
            <w:tcW w:type="dxa" w:w="3168"/>
            <w:tcMar>
              <w:top w:type="dxa" w:w="70"/>
              <w:left w:type="dxa" w:w="110"/>
              <w:bottom w:type="dxa" w:w="70"/>
              <w:right w:type="dxa" w:w="110"/>
            </w:tcMar>
          </w:tcPr>
          <w:p>
            <w:pPr>
              <w:jc w:val="left"/>
            </w:pPr>
            <w:r>
              <w:rPr>
                <w:b w:val="false"/>
                <w:bCs w:val="false"/>
                <w:color w:val="000000"/>
                <w:sz w:val="19"/>
                <w:szCs w:val="19"/>
              </w:rPr>
              <w:t xml:space="preserve">Screened out of training in two passes (see below)</w:t>
            </w:r>
          </w:p>
        </w:tc>
      </w:tr>
      <w:tr>
        <w:tc>
          <w:tcPr>
            <w:tcW w:type="dxa" w:w="2736"/>
            <w:shd w:fill="F4F7F8" w:color="auto" w:val="clear"/>
            <w:tcMar>
              <w:top w:type="dxa" w:w="70"/>
              <w:left w:type="dxa" w:w="110"/>
              <w:bottom w:type="dxa" w:w="70"/>
              <w:right w:type="dxa" w:w="110"/>
            </w:tcMar>
          </w:tcPr>
          <w:p>
            <w:pPr>
              <w:jc w:val="left"/>
            </w:pPr>
            <w:r>
              <w:rPr>
                <w:b w:val="false"/>
                <w:bCs w:val="false"/>
                <w:color w:val="000000"/>
                <w:sz w:val="19"/>
                <w:szCs w:val="19"/>
              </w:rPr>
              <w:t xml:space="preserve">Decoy feature</w:t>
            </w:r>
          </w:p>
        </w:tc>
        <w:tc>
          <w:tcPr>
            <w:tcW w:type="dxa" w:w="3456"/>
            <w:shd w:fill="F4F7F8" w:color="auto" w:val="clear"/>
            <w:tcMar>
              <w:top w:type="dxa" w:w="70"/>
              <w:left w:type="dxa" w:w="110"/>
              <w:bottom w:type="dxa" w:w="70"/>
              <w:right w:type="dxa" w:w="110"/>
            </w:tcMar>
          </w:tcPr>
          <w:p>
            <w:pPr>
              <w:jc w:val="left"/>
            </w:pPr>
            <w:r>
              <w:rPr>
                <w:b w:val="false"/>
                <w:bCs w:val="false"/>
                <w:color w:val="000000"/>
                <w:sz w:val="19"/>
                <w:szCs w:val="19"/>
              </w:rPr>
              <w:t xml:space="preserve">quote_signal looks predictive on raw averages, but the signal disappears once distance, equipment and market are controlled for</w:t>
            </w:r>
          </w:p>
        </w:tc>
        <w:tc>
          <w:tcPr>
            <w:tcW w:type="dxa" w:w="3168"/>
            <w:shd w:fill="F4F7F8" w:color="auto" w:val="clear"/>
            <w:tcMar>
              <w:top w:type="dxa" w:w="70"/>
              <w:left w:type="dxa" w:w="110"/>
              <w:bottom w:type="dxa" w:w="70"/>
              <w:right w:type="dxa" w:w="110"/>
            </w:tcMar>
          </w:tcPr>
          <w:p>
            <w:pPr>
              <w:jc w:val="left"/>
            </w:pPr>
            <w:r>
              <w:rPr>
                <w:b w:val="false"/>
                <w:bCs w:val="false"/>
                <w:color w:val="000000"/>
                <w:sz w:val="19"/>
                <w:szCs w:val="19"/>
              </w:rPr>
              <w:t xml:space="preserve">Excluded — adding it made holdout MAPE worse (2.63% → 3.15%)</w:t>
            </w:r>
          </w:p>
        </w:tc>
      </w:tr>
      <w:tr>
        <w:tc>
          <w:tcPr>
            <w:tcW w:type="dxa" w:w="2736"/>
            <w:tcMar>
              <w:top w:type="dxa" w:w="70"/>
              <w:left w:type="dxa" w:w="110"/>
              <w:bottom w:type="dxa" w:w="70"/>
              <w:right w:type="dxa" w:w="110"/>
            </w:tcMar>
          </w:tcPr>
          <w:p>
            <w:pPr>
              <w:jc w:val="left"/>
            </w:pPr>
            <w:r>
              <w:rPr>
                <w:b w:val="false"/>
                <w:bCs w:val="false"/>
                <w:color w:val="000000"/>
                <w:sz w:val="19"/>
                <w:szCs w:val="19"/>
              </w:rPr>
              <w:t xml:space="preserve">Floored distances</w:t>
            </w:r>
          </w:p>
        </w:tc>
        <w:tc>
          <w:tcPr>
            <w:tcW w:type="dxa" w:w="3456"/>
            <w:tcMar>
              <w:top w:type="dxa" w:w="70"/>
              <w:left w:type="dxa" w:w="110"/>
              <w:bottom w:type="dxa" w:w="70"/>
              <w:right w:type="dxa" w:w="110"/>
            </w:tcMar>
          </w:tcPr>
          <w:p>
            <w:pPr>
              <w:jc w:val="left"/>
            </w:pPr>
            <w:r>
              <w:rPr>
                <w:b w:val="false"/>
                <w:bCs w:val="false"/>
                <w:color w:val="000000"/>
                <w:sz w:val="19"/>
                <w:szCs w:val="19"/>
              </w:rPr>
              <w:t xml:space="preserve">distance never goes below 70 miles, so short city pairs sit at 1.6–9.6× the great-circle distance</w:t>
            </w:r>
          </w:p>
        </w:tc>
        <w:tc>
          <w:tcPr>
            <w:tcW w:type="dxa" w:w="3168"/>
            <w:tcMar>
              <w:top w:type="dxa" w:w="70"/>
              <w:left w:type="dxa" w:w="110"/>
              <w:bottom w:type="dxa" w:w="70"/>
              <w:right w:type="dxa" w:w="110"/>
            </w:tcMar>
          </w:tcPr>
          <w:p>
            <w:pPr>
              <w:jc w:val="left"/>
            </w:pPr>
            <w:r>
              <w:rPr>
                <w:b w:val="false"/>
                <w:bCs w:val="false"/>
                <w:color w:val="000000"/>
                <w:sz w:val="19"/>
                <w:szCs w:val="19"/>
              </w:rPr>
              <w:t xml:space="preserve">Kept, and exposed to the model as a 'circuity' feature so it can price those hauls separately</w:t>
            </w:r>
          </w:p>
        </w:tc>
      </w:tr>
    </w:tbl>
    <w:p>
      <w:pPr>
        <w:spacing w:after="220"/>
        <w:jc w:val="center"/>
      </w:pPr>
      <w:r>
        <w:rPr>
          <w:i/>
          <w:iCs/>
          <w:color w:val="455A60"/>
          <w:sz w:val="17"/>
          <w:szCs w:val="17"/>
        </w:rPr>
        <w:t xml:space="preserve"> </w:t>
      </w:r>
    </w:p>
    <w:p>
      <w:pPr>
        <w:pStyle w:val="Heading2"/>
        <w:spacing w:after="100" w:before="240"/>
      </w:pPr>
      <w:r>
        <w:rPr>
          <w:b/>
          <w:bCs/>
          <w:color w:val="064A56"/>
          <w:sz w:val="22"/>
          <w:szCs w:val="22"/>
        </w:rPr>
        <w:t xml:space="preserve">The corrupted labels</w:t>
      </w:r>
    </w:p>
    <w:p>
      <w:pPr>
        <w:spacing w:after="130" w:line="276"/>
      </w:pPr>
      <w:r>
        <w:rPr>
          <w:sz w:val="21"/>
          <w:szCs w:val="21"/>
        </w:rPr>
        <w:t xml:space="preserve">Dividing each posted rate by the median rate of the same lane and equipment produces three clearly separated groups: a tight core around 1×, a blob of labels at 0.17–0.4×, and a blob at 3–6×. Real price variation does not look like that; these are scrambled labels.</w:t>
      </w:r>
    </w:p>
    <w:p>
      <w:pPr>
        <w:spacing w:after="60" w:before="14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2552700"/>
                    </a:xfrm>
                    <a:prstGeom prst="rect">
                      <a:avLst/>
                    </a:prstGeom>
                  </pic:spPr>
                </pic:pic>
              </a:graphicData>
            </a:graphic>
          </wp:inline>
        </w:drawing>
      </w:r>
    </w:p>
    <w:p>
      <w:pPr>
        <w:spacing w:after="220"/>
        <w:jc w:val="center"/>
      </w:pPr>
      <w:r>
        <w:rPr>
          <w:i/>
          <w:iCs/>
          <w:color w:val="455A60"/>
          <w:sz w:val="17"/>
          <w:szCs w:val="17"/>
        </w:rPr>
        <w:t xml:space="preserve">48,000 training labels. The dashed lines are the screen used in training (0.5× and 2.2×).</w:t>
      </w:r>
    </w:p>
    <w:p>
      <w:pPr>
        <w:spacing w:after="130" w:line="276"/>
      </w:pPr>
      <w:r>
        <w:rPr>
          <w:sz w:val="21"/>
          <w:szCs w:val="21"/>
        </w:rPr>
        <w:t xml:space="preserve">They are screened in two passes. The first uses the lane median above and removes 625 rows (1.30%). The second refits the model, measures each row's residual and drops anything beyond four robust sigmas — this catches the corrupted labels sitting on thin lanes, where the lane median itself was dragged off. Together they remove </w:t>
      </w:r>
      <w:r>
        <w:rPr>
          <w:b/>
          <w:bCs/>
          <w:sz w:val="21"/>
          <w:szCs w:val="21"/>
        </w:rPr>
        <w:t xml:space="preserve">1.65% of rows</w:t>
      </w:r>
      <w:r>
        <w:rPr>
          <w:sz w:val="21"/>
          <w:szCs w:val="21"/>
        </w:rPr>
        <w:t xml:space="preserve"> from training. Dropping both screens costs 1.15 points of MAPE on the two-month-ahead holdouts (1.80% → 2.95%); dropping only the residual pass costs 0.35.</w:t>
      </w:r>
    </w:p>
    <w:p>
      <w:pPr>
        <w:spacing w:after="130" w:line="276"/>
      </w:pPr>
      <w:r>
        <w:rPr>
          <w:sz w:val="21"/>
          <w:szCs w:val="21"/>
        </w:rPr>
        <w:t xml:space="preserve">The holdout is deliberately not cleaned in the same way for the headline number — the model is scored on every row. But the corrupted labels are reported separately, because a label that was multiplied by four after the fact is not predictable by any model, and letting 1.3% of rows dominate the metric hides real differences between approaches.</w:t>
      </w:r>
    </w:p>
    <w:p>
      <w:pPr>
        <w:pStyle w:val="Heading1"/>
        <w:spacing w:after="140" w:before="320"/>
      </w:pPr>
      <w:r>
        <w:rPr>
          <w:b/>
          <w:bCs/>
          <w:color w:val="064A56"/>
          <w:sz w:val="26"/>
          <w:szCs w:val="26"/>
        </w:rPr>
        <w:t xml:space="preserve">4. What actually moves a rate</w:t>
      </w:r>
    </w:p>
    <w:p>
      <w:pPr>
        <w:spacing w:after="130" w:line="276"/>
      </w:pPr>
      <w:r>
        <w:rPr>
          <w:sz w:val="21"/>
          <w:szCs w:val="21"/>
        </w:rPr>
        <w:t xml:space="preserve">Rate is almost linear in distance (r = 0.91), so the model predicts </w:t>
      </w:r>
      <w:r>
        <w:rPr>
          <w:b/>
          <w:bCs/>
          <w:sz w:val="21"/>
          <w:szCs w:val="21"/>
        </w:rPr>
        <w:t xml:space="preserve">dollars per mile</w:t>
      </w:r>
      <w:r>
        <w:rPr>
          <w:sz w:val="21"/>
          <w:szCs w:val="21"/>
        </w:rPr>
        <w:t xml:space="preserve"> and multiplies back. That removes the dominant, trivially-learnable factor and lets the booster concentrate on the interesting part: the price of a mile is not constant.</w:t>
      </w:r>
    </w:p>
    <w:p>
      <w:pPr>
        <w:spacing w:after="60" w:before="14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76450"/>
                    </a:xfrm>
                    <a:prstGeom prst="rect">
                      <a:avLst/>
                    </a:prstGeom>
                  </pic:spPr>
                </pic:pic>
              </a:graphicData>
            </a:graphic>
          </wp:inline>
        </w:drawing>
      </w:r>
    </w:p>
    <w:p>
      <w:pPr>
        <w:spacing w:after="220"/>
        <w:jc w:val="center"/>
      </w:pPr>
      <w:r>
        <w:rPr>
          <w:i/>
          <w:iCs/>
          <w:color w:val="455A60"/>
          <w:sz w:val="17"/>
          <w:szCs w:val="17"/>
        </w:rPr>
        <w:t xml:space="preserve">$/mile falls from ~$2.80 on short hauls to ~$1.90 over 2,500 miles, and Reefer carries a ~13% premium over Dry Van at every length.</w:t>
      </w:r>
    </w:p>
    <w:p>
      <w:pPr>
        <w:spacing w:after="130" w:line="276"/>
      </w:pPr>
      <w:r>
        <w:rPr>
          <w:sz w:val="21"/>
          <w:szCs w:val="21"/>
        </w:rPr>
        <w:t xml:space="preserve">Three other effects matter, in order of size:</w:t>
      </w:r>
    </w:p>
    <w:p>
      <w:pPr>
        <w:pStyle w:val="ListParagraph"/>
        <w:numPr>
          <w:ilvl w:val="0"/>
          <w:numId w:val="2"/>
        </w:numPr>
        <w:spacing w:after="80" w:line="276"/>
      </w:pPr>
      <w:r>
        <w:rPr>
          <w:sz w:val="21"/>
          <w:szCs w:val="21"/>
        </w:rPr>
        <w:t xml:space="preserve">Market index — a daily level with a clean seven-day cycle (peaks Thursday, troughs Sunday) and a slow seasonal swing. Its daily mean correlates 0.70 with the day-level residual. Within-day variation is noise: the spread within a day is 0.025 against 0.166 across days.</w:t>
      </w:r>
    </w:p>
    <w:p>
      <w:pPr>
        <w:pStyle w:val="ListParagraph"/>
        <w:numPr>
          <w:ilvl w:val="0"/>
          <w:numId w:val="2"/>
        </w:numPr>
        <w:spacing w:after="80" w:line="276"/>
      </w:pPr>
      <w:r>
        <w:rPr>
          <w:sz w:val="21"/>
          <w:szCs w:val="21"/>
        </w:rPr>
        <w:t xml:space="preserve">Drift — rates rose steadily all year, about +6.7% annualised. This is the part a tree cannot extrapolate.</w:t>
      </w:r>
    </w:p>
    <w:p>
      <w:pPr>
        <w:pStyle w:val="ListParagraph"/>
        <w:numPr>
          <w:ilvl w:val="0"/>
          <w:numId w:val="2"/>
        </w:numPr>
        <w:spacing w:after="80" w:line="276"/>
      </w:pPr>
      <w:r>
        <w:rPr>
          <w:sz w:val="21"/>
          <w:szCs w:val="21"/>
        </w:rPr>
        <w:t xml:space="preserve">Weight and geography — heavier loads cost ~8% more per mile from the lightest to the heaviest decile, and origin/destination coordinates carry regional pricing that distance alone misses. Adding coordinates cut holdout MAE by ~18%.</w:t>
      </w:r>
    </w:p>
    <w:p>
      <w:pPr>
        <w:spacing w:after="60" w:before="140"/>
        <w:jc w:val="center"/>
      </w:pPr>
      <w:r>
        <w:drawing>
          <wp:inline distT="0" distB="0" distL="0" distR="0">
            <wp:extent cx="5943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24075"/>
                    </a:xfrm>
                    <a:prstGeom prst="rect">
                      <a:avLst/>
                    </a:prstGeom>
                  </pic:spPr>
                </pic:pic>
              </a:graphicData>
            </a:graphic>
          </wp:inline>
        </w:drawing>
      </w:r>
    </w:p>
    <w:p>
      <w:pPr>
        <w:spacing w:after="220"/>
        <w:jc w:val="center"/>
      </w:pPr>
      <w:r>
        <w:rPr>
          <w:i/>
          <w:iCs/>
          <w:color w:val="455A60"/>
          <w:sz w:val="17"/>
          <w:szCs w:val="17"/>
        </w:rPr>
        <w:t xml:space="preserve">Daily median $/mile across the labelled period. The dashed line is the drift the model extrapolates into November and December.</w:t>
      </w:r>
    </w:p>
    <w:p>
      <w:pPr>
        <w:spacing w:after="60" w:before="140"/>
        <w:jc w:val="center"/>
      </w:pPr>
      <w:r>
        <w:drawing>
          <wp:inline distT="0" distB="0" distL="0" distR="0">
            <wp:extent cx="59436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14525"/>
                    </a:xfrm>
                    <a:prstGeom prst="rect">
                      <a:avLst/>
                    </a:prstGeom>
                  </pic:spPr>
                </pic:pic>
              </a:graphicData>
            </a:graphic>
          </wp:inline>
        </w:drawing>
      </w:r>
    </w:p>
    <w:p>
      <w:pPr>
        <w:spacing w:after="220"/>
        <w:jc w:val="center"/>
      </w:pPr>
      <w:r>
        <w:rPr>
          <w:i/>
          <w:iCs/>
          <w:color w:val="455A60"/>
          <w:sz w:val="17"/>
          <w:szCs w:val="17"/>
        </w:rPr>
        <w:t xml:space="preserve">The weekly cycle lives in market_index — which is published for every December day, so the December chart can follow it.</w:t>
      </w:r>
    </w:p>
    <w:p>
      <w:pPr>
        <w:pStyle w:val="Heading1"/>
        <w:spacing w:after="140" w:before="320"/>
      </w:pPr>
      <w:r>
        <w:rPr>
          <w:b/>
          <w:bCs/>
          <w:color w:val="064A56"/>
          <w:sz w:val="26"/>
          <w:szCs w:val="26"/>
        </w:rPr>
        <w:t xml:space="preserve">5. Train/validation split and validation approach</w:t>
      </w:r>
    </w:p>
    <w:p>
      <w:pPr>
        <w:spacing w:after="130" w:line="276"/>
      </w:pPr>
      <w:r>
        <w:rPr>
          <w:sz w:val="21"/>
          <w:szCs w:val="21"/>
        </w:rPr>
        <w:t xml:space="preserve">A random K-fold would be wrong here. Loads on the same day, and neighbouring days, share a market level and a price level; a random fold puts some of them in training and some in test, so the model gets to see the future and the score comes out optimistic. The real task extrapolates two months past the last label.</w:t>
      </w:r>
    </w:p>
    <w:p>
      <w:pPr>
        <w:spacing w:after="130" w:line="276"/>
      </w:pPr>
      <w:r>
        <w:rPr>
          <w:sz w:val="21"/>
          <w:szCs w:val="21"/>
        </w:rPr>
        <w:t xml:space="preserve">So the split copies the real one exactly: </w:t>
      </w:r>
      <w:r>
        <w:rPr>
          <w:b/>
          <w:bCs/>
          <w:sz w:val="21"/>
          <w:szCs w:val="21"/>
        </w:rPr>
        <w:t xml:space="preserve">rolling origin, train on everything before a cut-off, score the next 61 days.</w:t>
      </w:r>
    </w:p>
    <w:tbl>
      <w:tblPr>
        <w:tblW w:type="dxa" w:w="8928"/>
        <w:tblBorders>
          <w:top w:val="single" w:color="D9E2E4" w:sz="2"/>
          <w:left w:val="none"/>
          <w:bottom w:val="single" w:color="D9E2E4" w:sz="2"/>
          <w:right w:val="none"/>
          <w:insideH w:val="single" w:color="D9E2E4" w:sz="2"/>
          <w:insideV w:val="none"/>
        </w:tblBorders>
      </w:tblPr>
      <w:tblGrid>
        <w:gridCol w:w="2160"/>
        <w:gridCol w:w="3168"/>
        <w:gridCol w:w="2016"/>
        <w:gridCol w:w="1584"/>
      </w:tblGrid>
      <w:tr>
        <w:trPr>
          <w:tblHeader/>
        </w:trPr>
        <w:tc>
          <w:tcPr>
            <w:tcW w:type="dxa" w:w="2160"/>
            <w:shd w:fill="064A56" w:color="auto" w:val="clear"/>
            <w:tcMar>
              <w:top w:type="dxa" w:w="70"/>
              <w:left w:type="dxa" w:w="110"/>
              <w:bottom w:type="dxa" w:w="70"/>
              <w:right w:type="dxa" w:w="110"/>
            </w:tcMar>
          </w:tcPr>
          <w:p>
            <w:pPr>
              <w:jc w:val="left"/>
            </w:pPr>
            <w:r>
              <w:rPr>
                <w:b/>
                <w:bCs/>
                <w:color w:val="FFFFFF"/>
                <w:sz w:val="19"/>
                <w:szCs w:val="19"/>
              </w:rPr>
              <w:t xml:space="preserve">Cut-off</w:t>
            </w:r>
          </w:p>
        </w:tc>
        <w:tc>
          <w:tcPr>
            <w:tcW w:type="dxa" w:w="3168"/>
            <w:shd w:fill="064A56" w:color="auto" w:val="clear"/>
            <w:tcMar>
              <w:top w:type="dxa" w:w="70"/>
              <w:left w:type="dxa" w:w="110"/>
              <w:bottom w:type="dxa" w:w="70"/>
              <w:right w:type="dxa" w:w="110"/>
            </w:tcMar>
          </w:tcPr>
          <w:p>
            <w:pPr>
              <w:jc w:val="left"/>
            </w:pPr>
            <w:r>
              <w:rPr>
                <w:b/>
                <w:bCs/>
                <w:color w:val="FFFFFF"/>
                <w:sz w:val="19"/>
                <w:szCs w:val="19"/>
              </w:rPr>
              <w:t xml:space="preserve">Training window</w:t>
            </w:r>
          </w:p>
        </w:tc>
        <w:tc>
          <w:tcPr>
            <w:tcW w:type="dxa" w:w="2016"/>
            <w:shd w:fill="064A56" w:color="auto" w:val="clear"/>
            <w:tcMar>
              <w:top w:type="dxa" w:w="70"/>
              <w:left w:type="dxa" w:w="110"/>
              <w:bottom w:type="dxa" w:w="70"/>
              <w:right w:type="dxa" w:w="110"/>
            </w:tcMar>
          </w:tcPr>
          <w:p>
            <w:pPr>
              <w:jc w:val="left"/>
            </w:pPr>
            <w:r>
              <w:rPr>
                <w:b/>
                <w:bCs/>
                <w:color w:val="FFFFFF"/>
                <w:sz w:val="19"/>
                <w:szCs w:val="19"/>
              </w:rPr>
              <w:t xml:space="preserve">Scored on</w:t>
            </w:r>
          </w:p>
        </w:tc>
        <w:tc>
          <w:tcPr>
            <w:tcW w:type="dxa" w:w="1584"/>
            <w:shd w:fill="064A56" w:color="auto" w:val="clear"/>
            <w:tcMar>
              <w:top w:type="dxa" w:w="70"/>
              <w:left w:type="dxa" w:w="110"/>
              <w:bottom w:type="dxa" w:w="70"/>
              <w:right w:type="dxa" w:w="110"/>
            </w:tcMar>
          </w:tcPr>
          <w:p>
            <w:pPr>
              <w:jc w:val="right"/>
            </w:pPr>
            <w:r>
              <w:rPr>
                <w:b/>
                <w:bCs/>
                <w:color w:val="FFFFFF"/>
                <w:sz w:val="19"/>
                <w:szCs w:val="19"/>
              </w:rPr>
              <w:t xml:space="preserve">Holdout loads</w:t>
            </w:r>
          </w:p>
        </w:tc>
      </w:tr>
      <w:tr>
        <w:tc>
          <w:tcPr>
            <w:tcW w:type="dxa" w:w="2160"/>
            <w:tcMar>
              <w:top w:type="dxa" w:w="70"/>
              <w:left w:type="dxa" w:w="110"/>
              <w:bottom w:type="dxa" w:w="70"/>
              <w:right w:type="dxa" w:w="110"/>
            </w:tcMar>
          </w:tcPr>
          <w:p>
            <w:pPr>
              <w:jc w:val="left"/>
            </w:pPr>
            <w:r>
              <w:rPr>
                <w:b w:val="false"/>
                <w:bCs w:val="false"/>
                <w:color w:val="000000"/>
                <w:sz w:val="19"/>
                <w:szCs w:val="19"/>
              </w:rPr>
              <w:t xml:space="preserve">1 Jul 2025</w:t>
            </w:r>
          </w:p>
        </w:tc>
        <w:tc>
          <w:tcPr>
            <w:tcW w:type="dxa" w:w="3168"/>
            <w:tcMar>
              <w:top w:type="dxa" w:w="70"/>
              <w:left w:type="dxa" w:w="110"/>
              <w:bottom w:type="dxa" w:w="70"/>
              <w:right w:type="dxa" w:w="110"/>
            </w:tcMar>
          </w:tcPr>
          <w:p>
            <w:pPr>
              <w:jc w:val="left"/>
            </w:pPr>
            <w:r>
              <w:rPr>
                <w:b w:val="false"/>
                <w:bCs w:val="false"/>
                <w:color w:val="000000"/>
                <w:sz w:val="19"/>
                <w:szCs w:val="19"/>
              </w:rPr>
              <w:t xml:space="preserve">1 Jan – 30 Jun</w:t>
            </w:r>
          </w:p>
        </w:tc>
        <w:tc>
          <w:tcPr>
            <w:tcW w:type="dxa" w:w="2016"/>
            <w:tcMar>
              <w:top w:type="dxa" w:w="70"/>
              <w:left w:type="dxa" w:w="110"/>
              <w:bottom w:type="dxa" w:w="70"/>
              <w:right w:type="dxa" w:w="110"/>
            </w:tcMar>
          </w:tcPr>
          <w:p>
            <w:pPr>
              <w:jc w:val="left"/>
            </w:pPr>
            <w:r>
              <w:rPr>
                <w:b w:val="false"/>
                <w:bCs w:val="false"/>
                <w:color w:val="000000"/>
                <w:sz w:val="19"/>
                <w:szCs w:val="19"/>
              </w:rPr>
              <w:t xml:space="preserve">Jul – Aug</w:t>
            </w:r>
          </w:p>
        </w:tc>
        <w:tc>
          <w:tcPr>
            <w:tcW w:type="dxa" w:w="1584"/>
            <w:tcMar>
              <w:top w:type="dxa" w:w="70"/>
              <w:left w:type="dxa" w:w="110"/>
              <w:bottom w:type="dxa" w:w="70"/>
              <w:right w:type="dxa" w:w="110"/>
            </w:tcMar>
          </w:tcPr>
          <w:p>
            <w:pPr>
              <w:jc w:val="right"/>
            </w:pPr>
            <w:r>
              <w:rPr>
                <w:b w:val="false"/>
                <w:bCs w:val="false"/>
                <w:color w:val="000000"/>
                <w:sz w:val="19"/>
                <w:szCs w:val="19"/>
              </w:rPr>
              <w:t xml:space="preserve">9,524</w:t>
            </w:r>
          </w:p>
        </w:tc>
      </w:tr>
      <w:tr>
        <w:tc>
          <w:tcPr>
            <w:tcW w:type="dxa" w:w="2160"/>
            <w:shd w:fill="F4F7F8" w:color="auto" w:val="clear"/>
            <w:tcMar>
              <w:top w:type="dxa" w:w="70"/>
              <w:left w:type="dxa" w:w="110"/>
              <w:bottom w:type="dxa" w:w="70"/>
              <w:right w:type="dxa" w:w="110"/>
            </w:tcMar>
          </w:tcPr>
          <w:p>
            <w:pPr>
              <w:jc w:val="left"/>
            </w:pPr>
            <w:r>
              <w:rPr>
                <w:b w:val="false"/>
                <w:bCs w:val="false"/>
                <w:color w:val="000000"/>
                <w:sz w:val="19"/>
                <w:szCs w:val="19"/>
              </w:rPr>
              <w:t xml:space="preserve">1 Aug 2025</w:t>
            </w:r>
          </w:p>
        </w:tc>
        <w:tc>
          <w:tcPr>
            <w:tcW w:type="dxa" w:w="3168"/>
            <w:shd w:fill="F4F7F8" w:color="auto" w:val="clear"/>
            <w:tcMar>
              <w:top w:type="dxa" w:w="70"/>
              <w:left w:type="dxa" w:w="110"/>
              <w:bottom w:type="dxa" w:w="70"/>
              <w:right w:type="dxa" w:w="110"/>
            </w:tcMar>
          </w:tcPr>
          <w:p>
            <w:pPr>
              <w:jc w:val="left"/>
            </w:pPr>
            <w:r>
              <w:rPr>
                <w:b w:val="false"/>
                <w:bCs w:val="false"/>
                <w:color w:val="000000"/>
                <w:sz w:val="19"/>
                <w:szCs w:val="19"/>
              </w:rPr>
              <w:t xml:space="preserve">1 Jan – 31 Jul</w:t>
            </w:r>
          </w:p>
        </w:tc>
        <w:tc>
          <w:tcPr>
            <w:tcW w:type="dxa" w:w="2016"/>
            <w:shd w:fill="F4F7F8" w:color="auto" w:val="clear"/>
            <w:tcMar>
              <w:top w:type="dxa" w:w="70"/>
              <w:left w:type="dxa" w:w="110"/>
              <w:bottom w:type="dxa" w:w="70"/>
              <w:right w:type="dxa" w:w="110"/>
            </w:tcMar>
          </w:tcPr>
          <w:p>
            <w:pPr>
              <w:jc w:val="left"/>
            </w:pPr>
            <w:r>
              <w:rPr>
                <w:b w:val="false"/>
                <w:bCs w:val="false"/>
                <w:color w:val="000000"/>
                <w:sz w:val="19"/>
                <w:szCs w:val="19"/>
              </w:rPr>
              <w:t xml:space="preserve">Aug – Sep</w:t>
            </w:r>
          </w:p>
        </w:tc>
        <w:tc>
          <w:tcPr>
            <w:tcW w:type="dxa" w:w="1584"/>
            <w:shd w:fill="F4F7F8" w:color="auto" w:val="clear"/>
            <w:tcMar>
              <w:top w:type="dxa" w:w="70"/>
              <w:left w:type="dxa" w:w="110"/>
              <w:bottom w:type="dxa" w:w="70"/>
              <w:right w:type="dxa" w:w="110"/>
            </w:tcMar>
          </w:tcPr>
          <w:p>
            <w:pPr>
              <w:jc w:val="right"/>
            </w:pPr>
            <w:r>
              <w:rPr>
                <w:b w:val="false"/>
                <w:bCs w:val="false"/>
                <w:color w:val="000000"/>
                <w:sz w:val="19"/>
                <w:szCs w:val="19"/>
              </w:rPr>
              <w:t xml:space="preserve">9,429</w:t>
            </w:r>
          </w:p>
        </w:tc>
      </w:tr>
      <w:tr>
        <w:tc>
          <w:tcPr>
            <w:tcW w:type="dxa" w:w="2160"/>
            <w:tcMar>
              <w:top w:type="dxa" w:w="70"/>
              <w:left w:type="dxa" w:w="110"/>
              <w:bottom w:type="dxa" w:w="70"/>
              <w:right w:type="dxa" w:w="110"/>
            </w:tcMar>
          </w:tcPr>
          <w:p>
            <w:pPr>
              <w:jc w:val="left"/>
            </w:pPr>
            <w:r>
              <w:rPr>
                <w:b w:val="false"/>
                <w:bCs w:val="false"/>
                <w:color w:val="000000"/>
                <w:sz w:val="19"/>
                <w:szCs w:val="19"/>
              </w:rPr>
              <w:t xml:space="preserve">1 Sep 2025</w:t>
            </w:r>
          </w:p>
        </w:tc>
        <w:tc>
          <w:tcPr>
            <w:tcW w:type="dxa" w:w="3168"/>
            <w:tcMar>
              <w:top w:type="dxa" w:w="70"/>
              <w:left w:type="dxa" w:w="110"/>
              <w:bottom w:type="dxa" w:w="70"/>
              <w:right w:type="dxa" w:w="110"/>
            </w:tcMar>
          </w:tcPr>
          <w:p>
            <w:pPr>
              <w:jc w:val="left"/>
            </w:pPr>
            <w:r>
              <w:rPr>
                <w:b w:val="false"/>
                <w:bCs w:val="false"/>
                <w:color w:val="000000"/>
                <w:sz w:val="19"/>
                <w:szCs w:val="19"/>
              </w:rPr>
              <w:t xml:space="preserve">1 Jan – 31 Aug</w:t>
            </w:r>
          </w:p>
        </w:tc>
        <w:tc>
          <w:tcPr>
            <w:tcW w:type="dxa" w:w="2016"/>
            <w:tcMar>
              <w:top w:type="dxa" w:w="70"/>
              <w:left w:type="dxa" w:w="110"/>
              <w:bottom w:type="dxa" w:w="70"/>
              <w:right w:type="dxa" w:w="110"/>
            </w:tcMar>
          </w:tcPr>
          <w:p>
            <w:pPr>
              <w:jc w:val="left"/>
            </w:pPr>
            <w:r>
              <w:rPr>
                <w:b w:val="false"/>
                <w:bCs w:val="false"/>
                <w:color w:val="000000"/>
                <w:sz w:val="19"/>
                <w:szCs w:val="19"/>
              </w:rPr>
              <w:t xml:space="preserve">Sep – Oct</w:t>
            </w:r>
          </w:p>
        </w:tc>
        <w:tc>
          <w:tcPr>
            <w:tcW w:type="dxa" w:w="1584"/>
            <w:tcMar>
              <w:top w:type="dxa" w:w="70"/>
              <w:left w:type="dxa" w:w="110"/>
              <w:bottom w:type="dxa" w:w="70"/>
              <w:right w:type="dxa" w:w="110"/>
            </w:tcMar>
          </w:tcPr>
          <w:p>
            <w:pPr>
              <w:jc w:val="right"/>
            </w:pPr>
            <w:r>
              <w:rPr>
                <w:b w:val="false"/>
                <w:bCs w:val="false"/>
                <w:color w:val="000000"/>
                <w:sz w:val="19"/>
                <w:szCs w:val="19"/>
              </w:rPr>
              <w:t xml:space="preserve">9,523</w:t>
            </w:r>
          </w:p>
        </w:tc>
      </w:tr>
    </w:tbl>
    <w:p>
      <w:pPr>
        <w:spacing w:after="220"/>
        <w:jc w:val="center"/>
      </w:pPr>
      <w:r>
        <w:rPr>
          <w:i/>
          <w:iCs/>
          <w:color w:val="455A60"/>
          <w:sz w:val="17"/>
          <w:szCs w:val="17"/>
        </w:rPr>
        <w:t xml:space="preserve">Three cut-offs rather than one, because a single two-month window is a small sample of market conditions.</w:t>
      </w:r>
    </w:p>
    <w:p>
      <w:pPr>
        <w:spacing w:after="130" w:line="276"/>
      </w:pPr>
      <w:r>
        <w:rPr>
          <w:sz w:val="21"/>
          <w:szCs w:val="21"/>
        </w:rPr>
        <w:t xml:space="preserve">Everything was chosen on these three holdouts and nothing else: the feature set, the label screen, the way the drift is extrapolated, and the booster's size. Three decisions turned on them:</w:t>
      </w:r>
    </w:p>
    <w:p>
      <w:pPr>
        <w:pStyle w:val="ListParagraph"/>
        <w:numPr>
          <w:ilvl w:val="0"/>
          <w:numId w:val="2"/>
        </w:numPr>
        <w:spacing w:after="80" w:line="276"/>
      </w:pPr>
      <w:r>
        <w:rPr>
          <w:b/>
          <w:bCs/>
          <w:sz w:val="21"/>
          <w:szCs w:val="21"/>
        </w:rPr>
        <w:t xml:space="preserve">Feature selection. </w:t>
      </w:r>
      <w:r>
        <w:rPr>
          <w:sz w:val="21"/>
          <w:szCs w:val="21"/>
        </w:rPr>
        <w:t xml:space="preserve">Coordinates helped (−18% MAE); day-of-week, within-day market noise, lane target-encoding and quote_signal all hurt or did nothing, and were dropped.</w:t>
      </w:r>
    </w:p>
    <w:p>
      <w:pPr>
        <w:pStyle w:val="ListParagraph"/>
        <w:numPr>
          <w:ilvl w:val="0"/>
          <w:numId w:val="2"/>
        </w:numPr>
        <w:spacing w:after="80" w:line="276"/>
      </w:pPr>
      <w:r>
        <w:rPr>
          <w:b/>
          <w:bCs/>
          <w:sz w:val="21"/>
          <w:szCs w:val="21"/>
        </w:rPr>
        <w:t xml:space="preserve">Drift extrapolation. </w:t>
      </w:r>
      <w:r>
        <w:rPr>
          <w:sz w:val="21"/>
          <w:szCs w:val="21"/>
        </w:rPr>
        <w:t xml:space="preserve">Fitting the drift line on all history under-predicts the recent level by ~1.2%; fitting it on only the last 90 days chases noise. Averaging three fits (all history, last 150 days, last 120 days) was the most accurate and least biased of the options tested, and is what ships.</w:t>
      </w:r>
    </w:p>
    <w:p>
      <w:pPr>
        <w:pStyle w:val="ListParagraph"/>
        <w:numPr>
          <w:ilvl w:val="0"/>
          <w:numId w:val="2"/>
        </w:numPr>
        <w:spacing w:after="80" w:line="276"/>
      </w:pPr>
      <w:r>
        <w:rPr>
          <w:b/>
          <w:bCs/>
          <w:sz w:val="21"/>
          <w:szCs w:val="21"/>
        </w:rPr>
        <w:t xml:space="preserve">Model capacity. </w:t>
      </w:r>
      <w:r>
        <w:rPr>
          <w:sz w:val="21"/>
          <w:szCs w:val="21"/>
        </w:rPr>
        <w:t xml:space="preserve">31 leaves at 700 iterations; 15 and 63 leaves were both marginally worse. The model is not capacity-limited, it is noise-limited.</w:t>
      </w:r>
    </w:p>
    <w:p>
      <w:pPr>
        <w:spacing w:after="130" w:line="276"/>
      </w:pPr>
      <w:r>
        <w:rPr>
          <w:sz w:val="21"/>
          <w:szCs w:val="21"/>
        </w:rPr>
        <w:t xml:space="preserve">The final model is then refitted on all 48,000 labelled loads (Jan–Oct) and applied to the 12,000 validation loads. Its fitted drift is </w:t>
      </w:r>
      <w:r>
        <w:rPr>
          <w:b/>
          <w:bCs/>
          <w:sz w:val="21"/>
          <w:szCs w:val="21"/>
        </w:rPr>
        <w:t xml:space="preserve">+0.65% per 30 days</w:t>
      </w:r>
      <w:r>
        <w:rPr>
          <w:sz w:val="21"/>
          <w:szCs w:val="21"/>
        </w:rPr>
        <w:t xml:space="preserve">, and the residual scatter around it is 2.2% in log space.</w:t>
      </w:r>
    </w:p>
    <w:p>
      <w:pPr>
        <w:spacing w:after="130" w:line="276"/>
      </w:pPr>
      <w:r>
        <w:rPr>
          <w:sz w:val="21"/>
          <w:szCs w:val="21"/>
        </w:rPr>
        <w:t xml:space="preserve">One note on leakage: the daily market level used to fill missing market_index values is computed over train </w:t>
      </w:r>
      <w:r>
        <w:rPr>
          <w:i/>
          <w:iCs/>
          <w:sz w:val="21"/>
          <w:szCs w:val="21"/>
        </w:rPr>
        <w:t xml:space="preserve">and</w:t>
      </w:r>
      <w:r>
        <w:rPr>
          <w:sz w:val="21"/>
          <w:szCs w:val="21"/>
        </w:rPr>
        <w:t xml:space="preserve"> validation rows. That column is a published feature, given for every load that has to be priced, so no label information crosses the split.</w:t>
      </w:r>
    </w:p>
    <w:p>
      <w:pPr>
        <w:pStyle w:val="Heading1"/>
        <w:spacing w:after="140" w:before="320"/>
      </w:pPr>
      <w:r>
        <w:rPr>
          <w:b/>
          <w:bCs/>
          <w:color w:val="064A56"/>
          <w:sz w:val="26"/>
          <w:szCs w:val="26"/>
        </w:rPr>
        <w:t xml:space="preserve">6. The model</w:t>
      </w:r>
    </w:p>
    <w:p>
      <w:pPr>
        <w:spacing w:after="130" w:line="276"/>
      </w:pPr>
      <w:r>
        <w:rPr>
          <w:rFonts w:ascii="Consolas" w:cs="Consolas" w:eastAsia="Consolas" w:hAnsi="Consolas"/>
          <w:b/>
          <w:bCs/>
          <w:sz w:val="20"/>
          <w:szCs w:val="20"/>
        </w:rPr>
        <w:t xml:space="preserve">log(posted_rate) = log(distance) + drift(date) + booster(features)</w:t>
      </w:r>
    </w:p>
    <w:tbl>
      <w:tblPr>
        <w:tblW w:type="dxa" w:w="9360"/>
        <w:tblBorders>
          <w:top w:val="single" w:color="D9E2E4" w:sz="2"/>
          <w:left w:val="none"/>
          <w:bottom w:val="single" w:color="D9E2E4" w:sz="2"/>
          <w:right w:val="none"/>
          <w:insideH w:val="single" w:color="D9E2E4" w:sz="2"/>
          <w:insideV w:val="none"/>
        </w:tblBorders>
      </w:tblPr>
      <w:tblGrid>
        <w:gridCol w:w="2304"/>
        <w:gridCol w:w="7056"/>
      </w:tblGrid>
      <w:tr>
        <w:trPr>
          <w:tblHeader/>
        </w:trPr>
        <w:tc>
          <w:tcPr>
            <w:tcW w:type="dxa" w:w="2304"/>
            <w:shd w:fill="064A56" w:color="auto" w:val="clear"/>
            <w:tcMar>
              <w:top w:type="dxa" w:w="70"/>
              <w:left w:type="dxa" w:w="110"/>
              <w:bottom w:type="dxa" w:w="70"/>
              <w:right w:type="dxa" w:w="110"/>
            </w:tcMar>
          </w:tcPr>
          <w:p>
            <w:pPr>
              <w:jc w:val="left"/>
            </w:pPr>
            <w:r>
              <w:rPr>
                <w:b/>
                <w:bCs/>
                <w:color w:val="FFFFFF"/>
                <w:sz w:val="19"/>
                <w:szCs w:val="19"/>
              </w:rPr>
              <w:t xml:space="preserve">Component</w:t>
            </w:r>
          </w:p>
        </w:tc>
        <w:tc>
          <w:tcPr>
            <w:tcW w:type="dxa" w:w="7056"/>
            <w:shd w:fill="064A56" w:color="auto" w:val="clear"/>
            <w:tcMar>
              <w:top w:type="dxa" w:w="70"/>
              <w:left w:type="dxa" w:w="110"/>
              <w:bottom w:type="dxa" w:w="70"/>
              <w:right w:type="dxa" w:w="110"/>
            </w:tcMar>
          </w:tcPr>
          <w:p>
            <w:pPr>
              <w:jc w:val="left"/>
            </w:pPr>
            <w:r>
              <w:rPr>
                <w:b/>
                <w:bCs/>
                <w:color w:val="FFFFFF"/>
                <w:sz w:val="19"/>
                <w:szCs w:val="19"/>
              </w:rPr>
              <w:t xml:space="preserve">Detail</w:t>
            </w:r>
          </w:p>
        </w:tc>
      </w:tr>
      <w:tr>
        <w:tc>
          <w:tcPr>
            <w:tcW w:type="dxa" w:w="2304"/>
            <w:tcMar>
              <w:top w:type="dxa" w:w="70"/>
              <w:left w:type="dxa" w:w="110"/>
              <w:bottom w:type="dxa" w:w="70"/>
              <w:right w:type="dxa" w:w="110"/>
            </w:tcMar>
          </w:tcPr>
          <w:p>
            <w:pPr>
              <w:jc w:val="left"/>
            </w:pPr>
            <w:r>
              <w:rPr>
                <w:b w:val="false"/>
                <w:bCs w:val="false"/>
                <w:color w:val="000000"/>
                <w:sz w:val="19"/>
                <w:szCs w:val="19"/>
              </w:rPr>
              <w:t xml:space="preserve">Target</w:t>
            </w:r>
          </w:p>
        </w:tc>
        <w:tc>
          <w:tcPr>
            <w:tcW w:type="dxa" w:w="7056"/>
            <w:tcMar>
              <w:top w:type="dxa" w:w="70"/>
              <w:left w:type="dxa" w:w="110"/>
              <w:bottom w:type="dxa" w:w="70"/>
              <w:right w:type="dxa" w:w="110"/>
            </w:tcMar>
          </w:tcPr>
          <w:p>
            <w:pPr>
              <w:jc w:val="left"/>
            </w:pPr>
            <w:r>
              <w:rPr>
                <w:b w:val="false"/>
                <w:bCs w:val="false"/>
                <w:color w:val="000000"/>
                <w:sz w:val="19"/>
                <w:szCs w:val="19"/>
              </w:rPr>
              <w:t xml:space="preserve">log rate per mile, drift removed. Log space because errors are proportional, not absolute — a $50 miss on a 200-mile haul is not the same mistake as on a 3,000-mile haul.</w:t>
            </w:r>
          </w:p>
        </w:tc>
      </w:tr>
      <w:tr>
        <w:tc>
          <w:tcPr>
            <w:tcW w:type="dxa" w:w="2304"/>
            <w:shd w:fill="F4F7F8" w:color="auto" w:val="clear"/>
            <w:tcMar>
              <w:top w:type="dxa" w:w="70"/>
              <w:left w:type="dxa" w:w="110"/>
              <w:bottom w:type="dxa" w:w="70"/>
              <w:right w:type="dxa" w:w="110"/>
            </w:tcMar>
          </w:tcPr>
          <w:p>
            <w:pPr>
              <w:jc w:val="left"/>
            </w:pPr>
            <w:r>
              <w:rPr>
                <w:b w:val="false"/>
                <w:bCs w:val="false"/>
                <w:color w:val="000000"/>
                <w:sz w:val="19"/>
                <w:szCs w:val="19"/>
              </w:rPr>
              <w:t xml:space="preserve">Drift</w:t>
            </w:r>
          </w:p>
        </w:tc>
        <w:tc>
          <w:tcPr>
            <w:tcW w:type="dxa" w:w="7056"/>
            <w:shd w:fill="F4F7F8" w:color="auto" w:val="clear"/>
            <w:tcMar>
              <w:top w:type="dxa" w:w="70"/>
              <w:left w:type="dxa" w:w="110"/>
              <w:bottom w:type="dxa" w:w="70"/>
              <w:right w:type="dxa" w:w="110"/>
            </w:tcMar>
          </w:tcPr>
          <w:p>
            <w:pPr>
              <w:jc w:val="left"/>
            </w:pPr>
            <w:r>
              <w:rPr>
                <w:b w:val="false"/>
                <w:bCs w:val="false"/>
                <w:color w:val="000000"/>
                <w:sz w:val="19"/>
                <w:szCs w:val="19"/>
              </w:rPr>
              <w:t xml:space="preserve">Straight line fitted on the day-level residual, averaged over three look-back windows, extrapolated forward.</w:t>
            </w:r>
          </w:p>
        </w:tc>
      </w:tr>
      <w:tr>
        <w:tc>
          <w:tcPr>
            <w:tcW w:type="dxa" w:w="2304"/>
            <w:tcMar>
              <w:top w:type="dxa" w:w="70"/>
              <w:left w:type="dxa" w:w="110"/>
              <w:bottom w:type="dxa" w:w="70"/>
              <w:right w:type="dxa" w:w="110"/>
            </w:tcMar>
          </w:tcPr>
          <w:p>
            <w:pPr>
              <w:jc w:val="left"/>
            </w:pPr>
            <w:r>
              <w:rPr>
                <w:b w:val="false"/>
                <w:bCs w:val="false"/>
                <w:color w:val="000000"/>
                <w:sz w:val="19"/>
                <w:szCs w:val="19"/>
              </w:rPr>
              <w:t xml:space="preserve">Estimator</w:t>
            </w:r>
          </w:p>
        </w:tc>
        <w:tc>
          <w:tcPr>
            <w:tcW w:type="dxa" w:w="7056"/>
            <w:tcMar>
              <w:top w:type="dxa" w:w="70"/>
              <w:left w:type="dxa" w:w="110"/>
              <w:bottom w:type="dxa" w:w="70"/>
              <w:right w:type="dxa" w:w="110"/>
            </w:tcMar>
          </w:tcPr>
          <w:p>
            <w:pPr>
              <w:jc w:val="left"/>
            </w:pPr>
            <w:r>
              <w:rPr>
                <w:b w:val="false"/>
                <w:bCs w:val="false"/>
                <w:color w:val="000000"/>
                <w:sz w:val="19"/>
                <w:szCs w:val="19"/>
              </w:rPr>
              <w:t xml:space="preserve">HistGradientBoostingRegressor — 700 iterations, learning rate 0.05, 31 leaves, min 30 samples per leaf, L2 = 1.0. Handles NaN natively, needs no scaling or one-hot encoding, trains in seconds.</w:t>
            </w:r>
          </w:p>
        </w:tc>
      </w:tr>
      <w:tr>
        <w:tc>
          <w:tcPr>
            <w:tcW w:type="dxa" w:w="2304"/>
            <w:shd w:fill="F4F7F8" w:color="auto" w:val="clear"/>
            <w:tcMar>
              <w:top w:type="dxa" w:w="70"/>
              <w:left w:type="dxa" w:w="110"/>
              <w:bottom w:type="dxa" w:w="70"/>
              <w:right w:type="dxa" w:w="110"/>
            </w:tcMar>
          </w:tcPr>
          <w:p>
            <w:pPr>
              <w:jc w:val="left"/>
            </w:pPr>
            <w:r>
              <w:rPr>
                <w:b w:val="false"/>
                <w:bCs w:val="false"/>
                <w:color w:val="000000"/>
                <w:sz w:val="19"/>
                <w:szCs w:val="19"/>
              </w:rPr>
              <w:t xml:space="preserve">Features (15)</w:t>
            </w:r>
          </w:p>
        </w:tc>
        <w:tc>
          <w:tcPr>
            <w:tcW w:type="dxa" w:w="7056"/>
            <w:shd w:fill="F4F7F8" w:color="auto" w:val="clear"/>
            <w:tcMar>
              <w:top w:type="dxa" w:w="70"/>
              <w:left w:type="dxa" w:w="110"/>
              <w:bottom w:type="dxa" w:w="70"/>
              <w:right w:type="dxa" w:w="110"/>
            </w:tcMar>
          </w:tcPr>
          <w:p>
            <w:pPr>
              <w:jc w:val="left"/>
            </w:pPr>
            <w:r>
              <w:rPr>
                <w:b w:val="false"/>
                <w:bCs w:val="false"/>
                <w:color w:val="000000"/>
                <w:sz w:val="19"/>
                <w:szCs w:val="19"/>
              </w:rPr>
              <w:t xml:space="preserve">distance, log distance, weight + missing flag, equipment, daily market index, pickup and delivery lat/lon, great-circle distance, circuity, bearing, route midpoint lat/lon.</w:t>
            </w:r>
          </w:p>
        </w:tc>
      </w:tr>
    </w:tbl>
    <w:p>
      <w:pPr>
        <w:spacing w:after="220"/>
        <w:jc w:val="center"/>
      </w:pPr>
      <w:r>
        <w:rPr>
          <w:i/>
          <w:iCs/>
          <w:color w:val="455A60"/>
          <w:sz w:val="17"/>
          <w:szCs w:val="17"/>
        </w:rPr>
        <w:t xml:space="preserve"> </w:t>
      </w:r>
    </w:p>
    <w:p>
      <w:pPr>
        <w:pStyle w:val="Heading2"/>
        <w:spacing w:after="100" w:before="240"/>
      </w:pPr>
      <w:r>
        <w:rPr>
          <w:b/>
          <w:bCs/>
          <w:color w:val="064A56"/>
          <w:sz w:val="22"/>
          <w:szCs w:val="22"/>
        </w:rPr>
        <w:t xml:space="preserve">What each piece is worth</w:t>
      </w:r>
    </w:p>
    <w:p>
      <w:pPr>
        <w:spacing w:after="130" w:line="276"/>
      </w:pPr>
      <w:r>
        <w:rPr>
          <w:sz w:val="21"/>
          <w:szCs w:val="21"/>
        </w:rPr>
        <w:t xml:space="preserve">Each row changes exactly one thing about the shipped model and is re-scored on the same three holdouts:</w:t>
      </w:r>
    </w:p>
    <w:tbl>
      <w:tblPr>
        <w:tblW w:type="dxa" w:w="9360"/>
        <w:tblBorders>
          <w:top w:val="single" w:color="D9E2E4" w:sz="2"/>
          <w:left w:val="none"/>
          <w:bottom w:val="single" w:color="D9E2E4" w:sz="2"/>
          <w:right w:val="none"/>
          <w:insideH w:val="single" w:color="D9E2E4" w:sz="2"/>
          <w:insideV w:val="none"/>
        </w:tblBorders>
      </w:tblPr>
      <w:tblGrid>
        <w:gridCol w:w="4032"/>
        <w:gridCol w:w="1440"/>
        <w:gridCol w:w="1440"/>
        <w:gridCol w:w="1440"/>
        <w:gridCol w:w="1008"/>
      </w:tblGrid>
      <w:tr>
        <w:trPr>
          <w:tblHeader/>
        </w:trPr>
        <w:tc>
          <w:tcPr>
            <w:tcW w:type="dxa" w:w="4032"/>
            <w:shd w:fill="064A56" w:color="auto" w:val="clear"/>
            <w:tcMar>
              <w:top w:type="dxa" w:w="70"/>
              <w:left w:type="dxa" w:w="110"/>
              <w:bottom w:type="dxa" w:w="70"/>
              <w:right w:type="dxa" w:w="110"/>
            </w:tcMar>
          </w:tcPr>
          <w:p>
            <w:pPr>
              <w:jc w:val="left"/>
            </w:pPr>
            <w:r>
              <w:rPr>
                <w:b/>
                <w:bCs/>
                <w:color w:val="FFFFFF"/>
                <w:sz w:val="19"/>
                <w:szCs w:val="19"/>
              </w:rPr>
              <w:t xml:space="preserve">Variant</w:t>
            </w:r>
          </w:p>
        </w:tc>
        <w:tc>
          <w:tcPr>
            <w:tcW w:type="dxa" w:w="1440"/>
            <w:shd w:fill="064A56" w:color="auto" w:val="clear"/>
            <w:tcMar>
              <w:top w:type="dxa" w:w="70"/>
              <w:left w:type="dxa" w:w="110"/>
              <w:bottom w:type="dxa" w:w="70"/>
              <w:right w:type="dxa" w:w="110"/>
            </w:tcMar>
          </w:tcPr>
          <w:p>
            <w:pPr>
              <w:jc w:val="right"/>
            </w:pPr>
            <w:r>
              <w:rPr>
                <w:b/>
                <w:bCs/>
                <w:color w:val="FFFFFF"/>
                <w:sz w:val="19"/>
                <w:szCs w:val="19"/>
              </w:rPr>
              <w:t xml:space="preserve">MAE</w:t>
            </w:r>
          </w:p>
        </w:tc>
        <w:tc>
          <w:tcPr>
            <w:tcW w:type="dxa" w:w="1440"/>
            <w:shd w:fill="064A56" w:color="auto" w:val="clear"/>
            <w:tcMar>
              <w:top w:type="dxa" w:w="70"/>
              <w:left w:type="dxa" w:w="110"/>
              <w:bottom w:type="dxa" w:w="70"/>
              <w:right w:type="dxa" w:w="110"/>
            </w:tcMar>
          </w:tcPr>
          <w:p>
            <w:pPr>
              <w:jc w:val="right"/>
            </w:pPr>
            <w:r>
              <w:rPr>
                <w:b/>
                <w:bCs/>
                <w:color w:val="FFFFFF"/>
                <w:sz w:val="19"/>
                <w:szCs w:val="19"/>
              </w:rPr>
              <w:t xml:space="preserve">MAPE</w:t>
            </w:r>
          </w:p>
        </w:tc>
        <w:tc>
          <w:tcPr>
            <w:tcW w:type="dxa" w:w="1440"/>
            <w:shd w:fill="064A56" w:color="auto" w:val="clear"/>
            <w:tcMar>
              <w:top w:type="dxa" w:w="70"/>
              <w:left w:type="dxa" w:w="110"/>
              <w:bottom w:type="dxa" w:w="70"/>
              <w:right w:type="dxa" w:w="110"/>
            </w:tcMar>
          </w:tcPr>
          <w:p>
            <w:pPr>
              <w:jc w:val="right"/>
            </w:pPr>
            <w:r>
              <w:rPr>
                <w:b/>
                <w:bCs/>
                <w:color w:val="FFFFFF"/>
                <w:sz w:val="19"/>
                <w:szCs w:val="19"/>
              </w:rPr>
              <w:t xml:space="preserve">RMSE</w:t>
            </w:r>
          </w:p>
        </w:tc>
        <w:tc>
          <w:tcPr>
            <w:tcW w:type="dxa" w:w="1008"/>
            <w:shd w:fill="064A56" w:color="auto" w:val="clear"/>
            <w:tcMar>
              <w:top w:type="dxa" w:w="70"/>
              <w:left w:type="dxa" w:w="110"/>
              <w:bottom w:type="dxa" w:w="70"/>
              <w:right w:type="dxa" w:w="110"/>
            </w:tcMar>
          </w:tcPr>
          <w:p>
            <w:pPr>
              <w:jc w:val="right"/>
            </w:pPr>
            <w:r>
              <w:rPr>
                <w:b/>
                <w:bCs/>
                <w:color w:val="FFFFFF"/>
                <w:sz w:val="19"/>
                <w:szCs w:val="19"/>
              </w:rPr>
              <w:t xml:space="preserve">Δ MAPE</w:t>
            </w:r>
          </w:p>
        </w:tc>
      </w:tr>
      <w:tr>
        <w:tc>
          <w:tcPr>
            <w:tcW w:type="dxa" w:w="4032"/>
            <w:tcMar>
              <w:top w:type="dxa" w:w="70"/>
              <w:left w:type="dxa" w:w="110"/>
              <w:bottom w:type="dxa" w:w="70"/>
              <w:right w:type="dxa" w:w="110"/>
            </w:tcMar>
          </w:tcPr>
          <w:p>
            <w:pPr>
              <w:jc w:val="left"/>
            </w:pPr>
            <w:r>
              <w:rPr>
                <w:b w:val="false"/>
                <w:bCs w:val="false"/>
                <w:color w:val="000000"/>
                <w:sz w:val="19"/>
                <w:szCs w:val="19"/>
              </w:rPr>
              <w:t xml:space="preserve">Shipped model</w:t>
            </w:r>
          </w:p>
        </w:tc>
        <w:tc>
          <w:tcPr>
            <w:tcW w:type="dxa" w:w="1440"/>
            <w:tcMar>
              <w:top w:type="dxa" w:w="70"/>
              <w:left w:type="dxa" w:w="110"/>
              <w:bottom w:type="dxa" w:w="70"/>
              <w:right w:type="dxa" w:w="110"/>
            </w:tcMar>
          </w:tcPr>
          <w:p>
            <w:pPr>
              <w:jc w:val="right"/>
            </w:pPr>
            <w:r>
              <w:rPr>
                <w:b w:val="false"/>
                <w:bCs w:val="false"/>
                <w:color w:val="000000"/>
                <w:sz w:val="19"/>
                <w:szCs w:val="19"/>
              </w:rPr>
              <w:t xml:space="preserve">$43.69</w:t>
            </w:r>
          </w:p>
        </w:tc>
        <w:tc>
          <w:tcPr>
            <w:tcW w:type="dxa" w:w="1440"/>
            <w:tcMar>
              <w:top w:type="dxa" w:w="70"/>
              <w:left w:type="dxa" w:w="110"/>
              <w:bottom w:type="dxa" w:w="70"/>
              <w:right w:type="dxa" w:w="110"/>
            </w:tcMar>
          </w:tcPr>
          <w:p>
            <w:pPr>
              <w:jc w:val="right"/>
            </w:pPr>
            <w:r>
              <w:rPr>
                <w:b w:val="false"/>
                <w:bCs w:val="false"/>
                <w:color w:val="000000"/>
                <w:sz w:val="19"/>
                <w:szCs w:val="19"/>
              </w:rPr>
              <w:t xml:space="preserve">1.80%</w:t>
            </w:r>
          </w:p>
        </w:tc>
        <w:tc>
          <w:tcPr>
            <w:tcW w:type="dxa" w:w="1440"/>
            <w:tcMar>
              <w:top w:type="dxa" w:w="70"/>
              <w:left w:type="dxa" w:w="110"/>
              <w:bottom w:type="dxa" w:w="70"/>
              <w:right w:type="dxa" w:w="110"/>
            </w:tcMar>
          </w:tcPr>
          <w:p>
            <w:pPr>
              <w:jc w:val="right"/>
            </w:pPr>
            <w:r>
              <w:rPr>
                <w:b w:val="false"/>
                <w:bCs w:val="false"/>
                <w:color w:val="000000"/>
                <w:sz w:val="19"/>
                <w:szCs w:val="19"/>
              </w:rPr>
              <w:t xml:space="preserve">$168.91</w:t>
            </w:r>
          </w:p>
        </w:tc>
        <w:tc>
          <w:tcPr>
            <w:tcW w:type="dxa" w:w="1008"/>
            <w:tcMar>
              <w:top w:type="dxa" w:w="70"/>
              <w:left w:type="dxa" w:w="110"/>
              <w:bottom w:type="dxa" w:w="70"/>
              <w:right w:type="dxa" w:w="110"/>
            </w:tcMar>
          </w:tcPr>
          <w:p>
            <w:pPr>
              <w:jc w:val="right"/>
            </w:pPr>
            <w:r>
              <w:rPr>
                <w:b w:val="false"/>
                <w:bCs w:val="false"/>
                <w:color w:val="000000"/>
                <w:sz w:val="19"/>
                <w:szCs w:val="19"/>
              </w:rPr>
              <w:t xml:space="preserve">—</w:t>
            </w:r>
          </w:p>
        </w:tc>
      </w:tr>
      <w:tr>
        <w:tc>
          <w:tcPr>
            <w:tcW w:type="dxa" w:w="4032"/>
            <w:shd w:fill="F4F7F8" w:color="auto" w:val="clear"/>
            <w:tcMar>
              <w:top w:type="dxa" w:w="70"/>
              <w:left w:type="dxa" w:w="110"/>
              <w:bottom w:type="dxa" w:w="70"/>
              <w:right w:type="dxa" w:w="110"/>
            </w:tcMar>
          </w:tcPr>
          <w:p>
            <w:pPr>
              <w:jc w:val="left"/>
            </w:pPr>
            <w:r>
              <w:rPr>
                <w:b w:val="false"/>
                <w:bCs w:val="false"/>
                <w:color w:val="000000"/>
                <w:sz w:val="19"/>
                <w:szCs w:val="19"/>
              </w:rPr>
              <w:t xml:space="preserve">No residual label screen</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$51.20</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2.15%</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$174.06</w:t>
            </w:r>
          </w:p>
        </w:tc>
        <w:tc>
          <w:tcPr>
            <w:tcW w:type="dxa" w:w="1008"/>
            <w:shd w:fill="F4F7F8" w:color="auto" w:val="clear"/>
            <w:tcMar>
              <w:top w:type="dxa" w:w="70"/>
              <w:left w:type="dxa" w:w="110"/>
              <w:bottom w:type="dxa" w:w="70"/>
              <w:right w:type="dxa" w:w="110"/>
            </w:tcMar>
          </w:tcPr>
          <w:p>
            <w:pPr>
              <w:jc w:val="right"/>
            </w:pPr>
            <w:r>
              <w:rPr>
                <w:b w:val="false"/>
                <w:bCs w:val="false"/>
                <w:color w:val="000000"/>
                <w:sz w:val="19"/>
                <w:szCs w:val="19"/>
              </w:rPr>
              <w:t xml:space="preserve">+0.35</w:t>
            </w:r>
          </w:p>
        </w:tc>
      </w:tr>
      <w:tr>
        <w:tc>
          <w:tcPr>
            <w:tcW w:type="dxa" w:w="4032"/>
            <w:tcMar>
              <w:top w:type="dxa" w:w="70"/>
              <w:left w:type="dxa" w:w="110"/>
              <w:bottom w:type="dxa" w:w="70"/>
              <w:right w:type="dxa" w:w="110"/>
            </w:tcMar>
          </w:tcPr>
          <w:p>
            <w:pPr>
              <w:jc w:val="left"/>
            </w:pPr>
            <w:r>
              <w:rPr>
                <w:b w:val="false"/>
                <w:bCs w:val="false"/>
                <w:color w:val="000000"/>
                <w:sz w:val="19"/>
                <w:szCs w:val="19"/>
              </w:rPr>
              <w:t xml:space="preserve">No label screening at all</w:t>
            </w:r>
          </w:p>
        </w:tc>
        <w:tc>
          <w:tcPr>
            <w:tcW w:type="dxa" w:w="1440"/>
            <w:tcMar>
              <w:top w:type="dxa" w:w="70"/>
              <w:left w:type="dxa" w:w="110"/>
              <w:bottom w:type="dxa" w:w="70"/>
              <w:right w:type="dxa" w:w="110"/>
            </w:tcMar>
          </w:tcPr>
          <w:p>
            <w:pPr>
              <w:jc w:val="right"/>
            </w:pPr>
            <w:r>
              <w:rPr>
                <w:b w:val="false"/>
                <w:bCs w:val="false"/>
                <w:color w:val="000000"/>
                <w:sz w:val="19"/>
                <w:szCs w:val="19"/>
              </w:rPr>
              <w:t xml:space="preserve">$68.47</w:t>
            </w:r>
          </w:p>
        </w:tc>
        <w:tc>
          <w:tcPr>
            <w:tcW w:type="dxa" w:w="1440"/>
            <w:tcMar>
              <w:top w:type="dxa" w:w="70"/>
              <w:left w:type="dxa" w:w="110"/>
              <w:bottom w:type="dxa" w:w="70"/>
              <w:right w:type="dxa" w:w="110"/>
            </w:tcMar>
          </w:tcPr>
          <w:p>
            <w:pPr>
              <w:jc w:val="right"/>
            </w:pPr>
            <w:r>
              <w:rPr>
                <w:b w:val="false"/>
                <w:bCs w:val="false"/>
                <w:color w:val="000000"/>
                <w:sz w:val="19"/>
                <w:szCs w:val="19"/>
              </w:rPr>
              <w:t xml:space="preserve">2.95%</w:t>
            </w:r>
          </w:p>
        </w:tc>
        <w:tc>
          <w:tcPr>
            <w:tcW w:type="dxa" w:w="1440"/>
            <w:tcMar>
              <w:top w:type="dxa" w:w="70"/>
              <w:left w:type="dxa" w:w="110"/>
              <w:bottom w:type="dxa" w:w="70"/>
              <w:right w:type="dxa" w:w="110"/>
            </w:tcMar>
          </w:tcPr>
          <w:p>
            <w:pPr>
              <w:jc w:val="right"/>
            </w:pPr>
            <w:r>
              <w:rPr>
                <w:b w:val="false"/>
                <w:bCs w:val="false"/>
                <w:color w:val="000000"/>
                <w:sz w:val="19"/>
                <w:szCs w:val="19"/>
              </w:rPr>
              <w:t xml:space="preserve">$186.94</w:t>
            </w:r>
          </w:p>
        </w:tc>
        <w:tc>
          <w:tcPr>
            <w:tcW w:type="dxa" w:w="1008"/>
            <w:tcMar>
              <w:top w:type="dxa" w:w="70"/>
              <w:left w:type="dxa" w:w="110"/>
              <w:bottom w:type="dxa" w:w="70"/>
              <w:right w:type="dxa" w:w="110"/>
            </w:tcMar>
          </w:tcPr>
          <w:p>
            <w:pPr>
              <w:jc w:val="right"/>
            </w:pPr>
            <w:r>
              <w:rPr>
                <w:b w:val="false"/>
                <w:bCs w:val="false"/>
                <w:color w:val="000000"/>
                <w:sz w:val="19"/>
                <w:szCs w:val="19"/>
              </w:rPr>
              <w:t xml:space="preserve">+1.15</w:t>
            </w:r>
          </w:p>
        </w:tc>
      </w:tr>
      <w:tr>
        <w:tc>
          <w:tcPr>
            <w:tcW w:type="dxa" w:w="4032"/>
            <w:shd w:fill="F4F7F8" w:color="auto" w:val="clear"/>
            <w:tcMar>
              <w:top w:type="dxa" w:w="70"/>
              <w:left w:type="dxa" w:w="110"/>
              <w:bottom w:type="dxa" w:w="70"/>
              <w:right w:type="dxa" w:w="110"/>
            </w:tcMar>
          </w:tcPr>
          <w:p>
            <w:pPr>
              <w:jc w:val="left"/>
            </w:pPr>
            <w:r>
              <w:rPr>
                <w:b w:val="false"/>
                <w:bCs w:val="false"/>
                <w:color w:val="000000"/>
                <w:sz w:val="19"/>
                <w:szCs w:val="19"/>
              </w:rPr>
              <w:t xml:space="preserve">Date as a plain feature, no drift term</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$73.73</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3.05%</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$189.54</w:t>
            </w:r>
          </w:p>
        </w:tc>
        <w:tc>
          <w:tcPr>
            <w:tcW w:type="dxa" w:w="1008"/>
            <w:shd w:fill="F4F7F8" w:color="auto" w:val="clear"/>
            <w:tcMar>
              <w:top w:type="dxa" w:w="70"/>
              <w:left w:type="dxa" w:w="110"/>
              <w:bottom w:type="dxa" w:w="70"/>
              <w:right w:type="dxa" w:w="110"/>
            </w:tcMar>
          </w:tcPr>
          <w:p>
            <w:pPr>
              <w:jc w:val="right"/>
            </w:pPr>
            <w:r>
              <w:rPr>
                <w:b w:val="false"/>
                <w:bCs w:val="false"/>
                <w:color w:val="000000"/>
                <w:sz w:val="19"/>
                <w:szCs w:val="19"/>
              </w:rPr>
              <w:t xml:space="preserve">+1.25</w:t>
            </w:r>
          </w:p>
        </w:tc>
      </w:tr>
      <w:tr>
        <w:tc>
          <w:tcPr>
            <w:tcW w:type="dxa" w:w="4032"/>
            <w:tcMar>
              <w:top w:type="dxa" w:w="70"/>
              <w:left w:type="dxa" w:w="110"/>
              <w:bottom w:type="dxa" w:w="70"/>
              <w:right w:type="dxa" w:w="110"/>
            </w:tcMar>
          </w:tcPr>
          <w:p>
            <w:pPr>
              <w:jc w:val="left"/>
            </w:pPr>
            <w:r>
              <w:rPr>
                <w:b w:val="false"/>
                <w:bCs w:val="false"/>
                <w:color w:val="000000"/>
                <w:sz w:val="19"/>
                <w:szCs w:val="19"/>
              </w:rPr>
              <w:t xml:space="preserve">No time information at all</w:t>
            </w:r>
          </w:p>
        </w:tc>
        <w:tc>
          <w:tcPr>
            <w:tcW w:type="dxa" w:w="1440"/>
            <w:tcMar>
              <w:top w:type="dxa" w:w="70"/>
              <w:left w:type="dxa" w:w="110"/>
              <w:bottom w:type="dxa" w:w="70"/>
              <w:right w:type="dxa" w:w="110"/>
            </w:tcMar>
          </w:tcPr>
          <w:p>
            <w:pPr>
              <w:jc w:val="right"/>
            </w:pPr>
            <w:r>
              <w:rPr>
                <w:b w:val="false"/>
                <w:bCs w:val="false"/>
                <w:color w:val="000000"/>
                <w:sz w:val="19"/>
                <w:szCs w:val="19"/>
              </w:rPr>
              <w:t xml:space="preserve">$88.69</w:t>
            </w:r>
          </w:p>
        </w:tc>
        <w:tc>
          <w:tcPr>
            <w:tcW w:type="dxa" w:w="1440"/>
            <w:tcMar>
              <w:top w:type="dxa" w:w="70"/>
              <w:left w:type="dxa" w:w="110"/>
              <w:bottom w:type="dxa" w:w="70"/>
              <w:right w:type="dxa" w:w="110"/>
            </w:tcMar>
          </w:tcPr>
          <w:p>
            <w:pPr>
              <w:jc w:val="right"/>
            </w:pPr>
            <w:r>
              <w:rPr>
                <w:b w:val="false"/>
                <w:bCs w:val="false"/>
                <w:color w:val="000000"/>
                <w:sz w:val="19"/>
                <w:szCs w:val="19"/>
              </w:rPr>
              <w:t xml:space="preserve">3.67%</w:t>
            </w:r>
          </w:p>
        </w:tc>
        <w:tc>
          <w:tcPr>
            <w:tcW w:type="dxa" w:w="1440"/>
            <w:tcMar>
              <w:top w:type="dxa" w:w="70"/>
              <w:left w:type="dxa" w:w="110"/>
              <w:bottom w:type="dxa" w:w="70"/>
              <w:right w:type="dxa" w:w="110"/>
            </w:tcMar>
          </w:tcPr>
          <w:p>
            <w:pPr>
              <w:jc w:val="right"/>
            </w:pPr>
            <w:r>
              <w:rPr>
                <w:b w:val="false"/>
                <w:bCs w:val="false"/>
                <w:color w:val="000000"/>
                <w:sz w:val="19"/>
                <w:szCs w:val="19"/>
              </w:rPr>
              <w:t xml:space="preserve">$196.70</w:t>
            </w:r>
          </w:p>
        </w:tc>
        <w:tc>
          <w:tcPr>
            <w:tcW w:type="dxa" w:w="1008"/>
            <w:tcMar>
              <w:top w:type="dxa" w:w="70"/>
              <w:left w:type="dxa" w:w="110"/>
              <w:bottom w:type="dxa" w:w="70"/>
              <w:right w:type="dxa" w:w="110"/>
            </w:tcMar>
          </w:tcPr>
          <w:p>
            <w:pPr>
              <w:jc w:val="right"/>
            </w:pPr>
            <w:r>
              <w:rPr>
                <w:b w:val="false"/>
                <w:bCs w:val="false"/>
                <w:color w:val="000000"/>
                <w:sz w:val="19"/>
                <w:szCs w:val="19"/>
              </w:rPr>
              <w:t xml:space="preserve">+1.87</w:t>
            </w:r>
          </w:p>
        </w:tc>
      </w:tr>
      <w:tr>
        <w:tc>
          <w:tcPr>
            <w:tcW w:type="dxa" w:w="4032"/>
            <w:shd w:fill="F4F7F8" w:color="auto" w:val="clear"/>
            <w:tcMar>
              <w:top w:type="dxa" w:w="70"/>
              <w:left w:type="dxa" w:w="110"/>
              <w:bottom w:type="dxa" w:w="70"/>
              <w:right w:type="dxa" w:w="110"/>
            </w:tcMar>
          </w:tcPr>
          <w:p>
            <w:pPr>
              <w:jc w:val="left"/>
            </w:pPr>
            <w:r>
              <w:rPr>
                <w:b w:val="false"/>
                <w:bCs w:val="false"/>
                <w:color w:val="000000"/>
                <w:sz w:val="19"/>
                <w:szCs w:val="19"/>
              </w:rPr>
              <w:t xml:space="preserve">Lane median $/mile benchmark</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$98.57</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4.12%</w:t>
            </w:r>
          </w:p>
        </w:tc>
        <w:tc>
          <w:tcPr>
            <w:tcW w:type="dxa" w:w="1440"/>
            <w:shd w:fill="F4F7F8" w:color="auto" w:val="clear"/>
            <w:tcMar>
              <w:top w:type="dxa" w:w="70"/>
              <w:left w:type="dxa" w:w="110"/>
              <w:bottom w:type="dxa" w:w="70"/>
              <w:right w:type="dxa" w:w="110"/>
            </w:tcMar>
          </w:tcPr>
          <w:p>
            <w:pPr>
              <w:jc w:val="right"/>
            </w:pPr>
            <w:r>
              <w:rPr>
                <w:b w:val="false"/>
                <w:bCs w:val="false"/>
                <w:color w:val="000000"/>
                <w:sz w:val="19"/>
                <w:szCs w:val="19"/>
              </w:rPr>
              <w:t xml:space="preserve">$216.10</w:t>
            </w:r>
          </w:p>
        </w:tc>
        <w:tc>
          <w:tcPr>
            <w:tcW w:type="dxa" w:w="1008"/>
            <w:shd w:fill="F4F7F8" w:color="auto" w:val="clear"/>
            <w:tcMar>
              <w:top w:type="dxa" w:w="70"/>
              <w:left w:type="dxa" w:w="110"/>
              <w:bottom w:type="dxa" w:w="70"/>
              <w:right w:type="dxa" w:w="110"/>
            </w:tcMar>
          </w:tcPr>
          <w:p>
            <w:pPr>
              <w:jc w:val="right"/>
            </w:pPr>
            <w:r>
              <w:rPr>
                <w:b w:val="false"/>
                <w:bCs w:val="false"/>
                <w:color w:val="000000"/>
                <w:sz w:val="19"/>
                <w:szCs w:val="19"/>
              </w:rPr>
              <w:t xml:space="preserve">+2.32</w:t>
            </w:r>
          </w:p>
        </w:tc>
      </w:tr>
    </w:tbl>
    <w:p>
      <w:pPr>
        <w:spacing w:after="220"/>
        <w:jc w:val="center"/>
      </w:pPr>
      <w:r>
        <w:rPr>
          <w:i/>
          <w:iCs/>
          <w:color w:val="455A60"/>
          <w:sz w:val="17"/>
          <w:szCs w:val="17"/>
        </w:rPr>
        <w:t xml:space="preserve">Averaged over the three cut-offs, scored on labels that pass the corruption screen. Reproduce with python -m src.ablation.</w:t>
      </w:r>
    </w:p>
    <w:p>
      <w:pPr>
        <w:spacing w:after="130" w:line="276"/>
      </w:pPr>
      <w:r>
        <w:rPr>
          <w:sz w:val="21"/>
          <w:szCs w:val="21"/>
        </w:rPr>
        <w:t xml:space="preserve">Deeper and shallower trees, absolute-error loss, lane target-encoding, day-of-week and quote_signal were all tried and none of them beat the shipped configuration.</w:t>
      </w:r>
    </w:p>
    <w:p>
      <w:pPr>
        <w:pStyle w:val="Heading1"/>
        <w:spacing w:after="140" w:before="320"/>
      </w:pPr>
      <w:r>
        <w:rPr>
          <w:b/>
          <w:bCs/>
          <w:color w:val="064A56"/>
          <w:sz w:val="26"/>
          <w:szCs w:val="26"/>
        </w:rPr>
        <w:t xml:space="preserve">7. Results</w:t>
      </w:r>
    </w:p>
    <w:tbl>
      <w:tblPr>
        <w:tblW w:type="dxa" w:w="9360"/>
        <w:tblBorders>
          <w:top w:val="single" w:color="D9E2E4" w:sz="2"/>
          <w:left w:val="none"/>
          <w:bottom w:val="single" w:color="D9E2E4" w:sz="2"/>
          <w:right w:val="none"/>
          <w:insideH w:val="single" w:color="D9E2E4" w:sz="2"/>
          <w:insideV w:val="none"/>
        </w:tblBorders>
      </w:tblPr>
      <w:tblGrid>
        <w:gridCol w:w="1800"/>
        <w:gridCol w:w="2520"/>
        <w:gridCol w:w="1368"/>
        <w:gridCol w:w="1368"/>
        <w:gridCol w:w="1368"/>
        <w:gridCol w:w="936"/>
      </w:tblGrid>
      <w:tr>
        <w:trPr>
          <w:tblHeader/>
        </w:trPr>
        <w:tc>
          <w:tcPr>
            <w:tcW w:type="dxa" w:w="1800"/>
            <w:shd w:fill="064A56" w:color="auto" w:val="clear"/>
            <w:tcMar>
              <w:top w:type="dxa" w:w="70"/>
              <w:left w:type="dxa" w:w="110"/>
              <w:bottom w:type="dxa" w:w="70"/>
              <w:right w:type="dxa" w:w="110"/>
            </w:tcMar>
          </w:tcPr>
          <w:p>
            <w:pPr>
              <w:jc w:val="left"/>
            </w:pPr>
            <w:r>
              <w:rPr>
                <w:b/>
                <w:bCs/>
                <w:color w:val="FFFFFF"/>
                <w:sz w:val="19"/>
                <w:szCs w:val="19"/>
              </w:rPr>
              <w:t xml:space="preserve">Cut-off</w:t>
            </w:r>
          </w:p>
        </w:tc>
        <w:tc>
          <w:tcPr>
            <w:tcW w:type="dxa" w:w="2520"/>
            <w:shd w:fill="064A56" w:color="auto" w:val="clear"/>
            <w:tcMar>
              <w:top w:type="dxa" w:w="70"/>
              <w:left w:type="dxa" w:w="110"/>
              <w:bottom w:type="dxa" w:w="70"/>
              <w:right w:type="dxa" w:w="110"/>
            </w:tcMar>
          </w:tcPr>
          <w:p>
            <w:pPr>
              <w:jc w:val="left"/>
            </w:pPr>
            <w:r>
              <w:rPr>
                <w:b/>
                <w:bCs/>
                <w:color w:val="FFFFFF"/>
                <w:sz w:val="19"/>
                <w:szCs w:val="19"/>
              </w:rPr>
              <w:t xml:space="preserve">Model</w:t>
            </w:r>
          </w:p>
        </w:tc>
        <w:tc>
          <w:tcPr>
            <w:tcW w:type="dxa" w:w="1368"/>
            <w:shd w:fill="064A56" w:color="auto" w:val="clear"/>
            <w:tcMar>
              <w:top w:type="dxa" w:w="70"/>
              <w:left w:type="dxa" w:w="110"/>
              <w:bottom w:type="dxa" w:w="70"/>
              <w:right w:type="dxa" w:w="110"/>
            </w:tcMar>
          </w:tcPr>
          <w:p>
            <w:pPr>
              <w:jc w:val="right"/>
            </w:pPr>
            <w:r>
              <w:rPr>
                <w:b/>
                <w:bCs/>
                <w:color w:val="FFFFFF"/>
                <w:sz w:val="19"/>
                <w:szCs w:val="19"/>
              </w:rPr>
              <w:t xml:space="preserve">MAE</w:t>
            </w:r>
          </w:p>
        </w:tc>
        <w:tc>
          <w:tcPr>
            <w:tcW w:type="dxa" w:w="1368"/>
            <w:shd w:fill="064A56" w:color="auto" w:val="clear"/>
            <w:tcMar>
              <w:top w:type="dxa" w:w="70"/>
              <w:left w:type="dxa" w:w="110"/>
              <w:bottom w:type="dxa" w:w="70"/>
              <w:right w:type="dxa" w:w="110"/>
            </w:tcMar>
          </w:tcPr>
          <w:p>
            <w:pPr>
              <w:jc w:val="right"/>
            </w:pPr>
            <w:r>
              <w:rPr>
                <w:b/>
                <w:bCs/>
                <w:color w:val="FFFFFF"/>
                <w:sz w:val="19"/>
                <w:szCs w:val="19"/>
              </w:rPr>
              <w:t xml:space="preserve">MAPE</w:t>
            </w:r>
          </w:p>
        </w:tc>
        <w:tc>
          <w:tcPr>
            <w:tcW w:type="dxa" w:w="1368"/>
            <w:shd w:fill="064A56" w:color="auto" w:val="clear"/>
            <w:tcMar>
              <w:top w:type="dxa" w:w="70"/>
              <w:left w:type="dxa" w:w="110"/>
              <w:bottom w:type="dxa" w:w="70"/>
              <w:right w:type="dxa" w:w="110"/>
            </w:tcMar>
          </w:tcPr>
          <w:p>
            <w:pPr>
              <w:jc w:val="right"/>
            </w:pPr>
            <w:r>
              <w:rPr>
                <w:b/>
                <w:bCs/>
                <w:color w:val="FFFFFF"/>
                <w:sz w:val="19"/>
                <w:szCs w:val="19"/>
              </w:rPr>
              <w:t xml:space="preserve">RMSE</w:t>
            </w:r>
          </w:p>
        </w:tc>
        <w:tc>
          <w:tcPr>
            <w:tcW w:type="dxa" w:w="936"/>
            <w:shd w:fill="064A56" w:color="auto" w:val="clear"/>
            <w:tcMar>
              <w:top w:type="dxa" w:w="70"/>
              <w:left w:type="dxa" w:w="110"/>
              <w:bottom w:type="dxa" w:w="70"/>
              <w:right w:type="dxa" w:w="110"/>
            </w:tcMar>
          </w:tcPr>
          <w:p>
            <w:pPr>
              <w:jc w:val="right"/>
            </w:pPr>
            <w:r>
              <w:rPr>
                <w:b/>
                <w:bCs/>
                <w:color w:val="FFFFFF"/>
                <w:sz w:val="19"/>
                <w:szCs w:val="19"/>
              </w:rPr>
              <w:t xml:space="preserve">R²</w:t>
            </w:r>
          </w:p>
        </w:tc>
      </w:tr>
      <w:tr>
        <w:tc>
          <w:tcPr>
            <w:tcW w:type="dxa" w:w="1800"/>
            <w:tcMar>
              <w:top w:type="dxa" w:w="70"/>
              <w:left w:type="dxa" w:w="110"/>
              <w:bottom w:type="dxa" w:w="70"/>
              <w:right w:type="dxa" w:w="110"/>
            </w:tcMar>
          </w:tcPr>
          <w:p>
            <w:pPr>
              <w:jc w:val="left"/>
            </w:pPr>
            <w:r>
              <w:rPr>
                <w:b w:val="false"/>
                <w:bCs w:val="false"/>
                <w:color w:val="000000"/>
                <w:sz w:val="19"/>
                <w:szCs w:val="19"/>
              </w:rPr>
              <w:t xml:space="preserve">1 Jul 2025</w:t>
            </w:r>
          </w:p>
        </w:tc>
        <w:tc>
          <w:tcPr>
            <w:tcW w:type="dxa" w:w="2520"/>
            <w:tcMar>
              <w:top w:type="dxa" w:w="70"/>
              <w:left w:type="dxa" w:w="110"/>
              <w:bottom w:type="dxa" w:w="70"/>
              <w:right w:type="dxa" w:w="110"/>
            </w:tcMar>
          </w:tcPr>
          <w:p>
            <w:pPr>
              <w:jc w:val="left"/>
            </w:pPr>
            <w:r>
              <w:rPr>
                <w:b w:val="false"/>
                <w:bCs w:val="false"/>
                <w:color w:val="000000"/>
                <w:sz w:val="19"/>
                <w:szCs w:val="19"/>
              </w:rPr>
              <w:t xml:space="preserve">Lane median $/mile</w:t>
            </w:r>
          </w:p>
        </w:tc>
        <w:tc>
          <w:tcPr>
            <w:tcW w:type="dxa" w:w="1368"/>
            <w:tcMar>
              <w:top w:type="dxa" w:w="70"/>
              <w:left w:type="dxa" w:w="110"/>
              <w:bottom w:type="dxa" w:w="70"/>
              <w:right w:type="dxa" w:w="110"/>
            </w:tcMar>
          </w:tcPr>
          <w:p>
            <w:pPr>
              <w:jc w:val="right"/>
            </w:pPr>
            <w:r>
              <w:rPr>
                <w:b w:val="false"/>
                <w:bCs w:val="false"/>
                <w:color w:val="000000"/>
                <w:sz w:val="19"/>
                <w:szCs w:val="19"/>
              </w:rPr>
              <w:t xml:space="preserve">$104.26</w:t>
            </w:r>
          </w:p>
        </w:tc>
        <w:tc>
          <w:tcPr>
            <w:tcW w:type="dxa" w:w="1368"/>
            <w:tcMar>
              <w:top w:type="dxa" w:w="70"/>
              <w:left w:type="dxa" w:w="110"/>
              <w:bottom w:type="dxa" w:w="70"/>
              <w:right w:type="dxa" w:w="110"/>
            </w:tcMar>
          </w:tcPr>
          <w:p>
            <w:pPr>
              <w:jc w:val="right"/>
            </w:pPr>
            <w:r>
              <w:rPr>
                <w:b w:val="false"/>
                <w:bCs w:val="false"/>
                <w:color w:val="000000"/>
                <w:sz w:val="19"/>
                <w:szCs w:val="19"/>
              </w:rPr>
              <w:t xml:space="preserve">4.42%</w:t>
            </w:r>
          </w:p>
        </w:tc>
        <w:tc>
          <w:tcPr>
            <w:tcW w:type="dxa" w:w="1368"/>
            <w:tcMar>
              <w:top w:type="dxa" w:w="70"/>
              <w:left w:type="dxa" w:w="110"/>
              <w:bottom w:type="dxa" w:w="70"/>
              <w:right w:type="dxa" w:w="110"/>
            </w:tcMar>
          </w:tcPr>
          <w:p>
            <w:pPr>
              <w:jc w:val="right"/>
            </w:pPr>
            <w:r>
              <w:rPr>
                <w:b w:val="false"/>
                <w:bCs w:val="false"/>
                <w:color w:val="000000"/>
                <w:sz w:val="19"/>
                <w:szCs w:val="19"/>
              </w:rPr>
              <w:t xml:space="preserve">$202.42</w:t>
            </w:r>
          </w:p>
        </w:tc>
        <w:tc>
          <w:tcPr>
            <w:tcW w:type="dxa" w:w="936"/>
            <w:tcMar>
              <w:top w:type="dxa" w:w="70"/>
              <w:left w:type="dxa" w:w="110"/>
              <w:bottom w:type="dxa" w:w="70"/>
              <w:right w:type="dxa" w:w="110"/>
            </w:tcMar>
          </w:tcPr>
          <w:p>
            <w:pPr>
              <w:jc w:val="right"/>
            </w:pPr>
            <w:r>
              <w:rPr>
                <w:b w:val="false"/>
                <w:bCs w:val="false"/>
                <w:color w:val="000000"/>
                <w:sz w:val="19"/>
                <w:szCs w:val="19"/>
              </w:rPr>
              <w:t xml:space="preserve">0.978</w:t>
            </w:r>
          </w:p>
        </w:tc>
      </w:tr>
      <w:tr>
        <w:tc>
          <w:tcPr>
            <w:tcW w:type="dxa" w:w="1800"/>
            <w:shd w:fill="F4F7F8" w:color="auto" w:val="clear"/>
            <w:tcMar>
              <w:top w:type="dxa" w:w="70"/>
              <w:left w:type="dxa" w:w="110"/>
              <w:bottom w:type="dxa" w:w="70"/>
              <w:right w:type="dxa" w:w="110"/>
            </w:tcMar>
          </w:tcPr>
          <w:p>
            <w:pPr>
              <w:jc w:val="left"/>
            </w:pPr>
            <w:r>
              <w:rPr>
                <w:b w:val="false"/>
                <w:bCs w:val="false"/>
                <w:color w:val="000000"/>
                <w:sz w:val="19"/>
                <w:szCs w:val="19"/>
              </w:rPr>
              <w:t xml:space="preserve">1 Jul 2025</w:t>
            </w:r>
          </w:p>
        </w:tc>
        <w:tc>
          <w:tcPr>
            <w:tcW w:type="dxa" w:w="2520"/>
            <w:shd w:fill="F4F7F8" w:color="auto" w:val="clear"/>
            <w:tcMar>
              <w:top w:type="dxa" w:w="70"/>
              <w:left w:type="dxa" w:w="110"/>
              <w:bottom w:type="dxa" w:w="70"/>
              <w:right w:type="dxa" w:w="110"/>
            </w:tcMar>
          </w:tcPr>
          <w:p>
            <w:pPr>
              <w:jc w:val="left"/>
            </w:pPr>
            <w:r>
              <w:rPr>
                <w:b w:val="false"/>
                <w:bCs w:val="false"/>
                <w:color w:val="000000"/>
                <w:sz w:val="19"/>
                <w:szCs w:val="19"/>
              </w:rPr>
              <w:t xml:space="preserve">This model</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$36.83</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1.59%</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$137.51</w:t>
            </w:r>
          </w:p>
        </w:tc>
        <w:tc>
          <w:tcPr>
            <w:tcW w:type="dxa" w:w="936"/>
            <w:shd w:fill="F4F7F8" w:color="auto" w:val="clear"/>
            <w:tcMar>
              <w:top w:type="dxa" w:w="70"/>
              <w:left w:type="dxa" w:w="110"/>
              <w:bottom w:type="dxa" w:w="70"/>
              <w:right w:type="dxa" w:w="110"/>
            </w:tcMar>
          </w:tcPr>
          <w:p>
            <w:pPr>
              <w:jc w:val="right"/>
            </w:pPr>
            <w:r>
              <w:rPr>
                <w:b w:val="false"/>
                <w:bCs w:val="false"/>
                <w:color w:val="000000"/>
                <w:sz w:val="19"/>
                <w:szCs w:val="19"/>
              </w:rPr>
              <w:t xml:space="preserve">0.990</w:t>
            </w:r>
          </w:p>
        </w:tc>
      </w:tr>
      <w:tr>
        <w:tc>
          <w:tcPr>
            <w:tcW w:type="dxa" w:w="1800"/>
            <w:tcMar>
              <w:top w:type="dxa" w:w="70"/>
              <w:left w:type="dxa" w:w="110"/>
              <w:bottom w:type="dxa" w:w="70"/>
              <w:right w:type="dxa" w:w="110"/>
            </w:tcMar>
          </w:tcPr>
          <w:p>
            <w:pPr>
              <w:jc w:val="left"/>
            </w:pPr>
            <w:r>
              <w:rPr>
                <w:b w:val="false"/>
                <w:bCs w:val="false"/>
                <w:color w:val="000000"/>
                <w:sz w:val="19"/>
                <w:szCs w:val="19"/>
              </w:rPr>
              <w:t xml:space="preserve">1 Aug 2025</w:t>
            </w:r>
          </w:p>
        </w:tc>
        <w:tc>
          <w:tcPr>
            <w:tcW w:type="dxa" w:w="2520"/>
            <w:tcMar>
              <w:top w:type="dxa" w:w="70"/>
              <w:left w:type="dxa" w:w="110"/>
              <w:bottom w:type="dxa" w:w="70"/>
              <w:right w:type="dxa" w:w="110"/>
            </w:tcMar>
          </w:tcPr>
          <w:p>
            <w:pPr>
              <w:jc w:val="left"/>
            </w:pPr>
            <w:r>
              <w:rPr>
                <w:b w:val="false"/>
                <w:bCs w:val="false"/>
                <w:color w:val="000000"/>
                <w:sz w:val="19"/>
                <w:szCs w:val="19"/>
              </w:rPr>
              <w:t xml:space="preserve">Lane median $/mile</w:t>
            </w:r>
          </w:p>
        </w:tc>
        <w:tc>
          <w:tcPr>
            <w:tcW w:type="dxa" w:w="1368"/>
            <w:tcMar>
              <w:top w:type="dxa" w:w="70"/>
              <w:left w:type="dxa" w:w="110"/>
              <w:bottom w:type="dxa" w:w="70"/>
              <w:right w:type="dxa" w:w="110"/>
            </w:tcMar>
          </w:tcPr>
          <w:p>
            <w:pPr>
              <w:jc w:val="right"/>
            </w:pPr>
            <w:r>
              <w:rPr>
                <w:b w:val="false"/>
                <w:bCs w:val="false"/>
                <w:color w:val="000000"/>
                <w:sz w:val="19"/>
                <w:szCs w:val="19"/>
              </w:rPr>
              <w:t xml:space="preserve">$97.28</w:t>
            </w:r>
          </w:p>
        </w:tc>
        <w:tc>
          <w:tcPr>
            <w:tcW w:type="dxa" w:w="1368"/>
            <w:tcMar>
              <w:top w:type="dxa" w:w="70"/>
              <w:left w:type="dxa" w:w="110"/>
              <w:bottom w:type="dxa" w:w="70"/>
              <w:right w:type="dxa" w:w="110"/>
            </w:tcMar>
          </w:tcPr>
          <w:p>
            <w:pPr>
              <w:jc w:val="right"/>
            </w:pPr>
            <w:r>
              <w:rPr>
                <w:b w:val="false"/>
                <w:bCs w:val="false"/>
                <w:color w:val="000000"/>
                <w:sz w:val="19"/>
                <w:szCs w:val="19"/>
              </w:rPr>
              <w:t xml:space="preserve">4.05%</w:t>
            </w:r>
          </w:p>
        </w:tc>
        <w:tc>
          <w:tcPr>
            <w:tcW w:type="dxa" w:w="1368"/>
            <w:tcMar>
              <w:top w:type="dxa" w:w="70"/>
              <w:left w:type="dxa" w:w="110"/>
              <w:bottom w:type="dxa" w:w="70"/>
              <w:right w:type="dxa" w:w="110"/>
            </w:tcMar>
          </w:tcPr>
          <w:p>
            <w:pPr>
              <w:jc w:val="right"/>
            </w:pPr>
            <w:r>
              <w:rPr>
                <w:b w:val="false"/>
                <w:bCs w:val="false"/>
                <w:color w:val="000000"/>
                <w:sz w:val="19"/>
                <w:szCs w:val="19"/>
              </w:rPr>
              <w:t xml:space="preserve">$219.81</w:t>
            </w:r>
          </w:p>
        </w:tc>
        <w:tc>
          <w:tcPr>
            <w:tcW w:type="dxa" w:w="936"/>
            <w:tcMar>
              <w:top w:type="dxa" w:w="70"/>
              <w:left w:type="dxa" w:w="110"/>
              <w:bottom w:type="dxa" w:w="70"/>
              <w:right w:type="dxa" w:w="110"/>
            </w:tcMar>
          </w:tcPr>
          <w:p>
            <w:pPr>
              <w:jc w:val="right"/>
            </w:pPr>
            <w:r>
              <w:rPr>
                <w:b w:val="false"/>
                <w:bCs w:val="false"/>
                <w:color w:val="000000"/>
                <w:sz w:val="19"/>
                <w:szCs w:val="19"/>
              </w:rPr>
              <w:t xml:space="preserve">0.974</w:t>
            </w:r>
          </w:p>
        </w:tc>
      </w:tr>
      <w:tr>
        <w:tc>
          <w:tcPr>
            <w:tcW w:type="dxa" w:w="1800"/>
            <w:shd w:fill="F4F7F8" w:color="auto" w:val="clear"/>
            <w:tcMar>
              <w:top w:type="dxa" w:w="70"/>
              <w:left w:type="dxa" w:w="110"/>
              <w:bottom w:type="dxa" w:w="70"/>
              <w:right w:type="dxa" w:w="110"/>
            </w:tcMar>
          </w:tcPr>
          <w:p>
            <w:pPr>
              <w:jc w:val="left"/>
            </w:pPr>
            <w:r>
              <w:rPr>
                <w:b w:val="false"/>
                <w:bCs w:val="false"/>
                <w:color w:val="000000"/>
                <w:sz w:val="19"/>
                <w:szCs w:val="19"/>
              </w:rPr>
              <w:t xml:space="preserve">1 Aug 2025</w:t>
            </w:r>
          </w:p>
        </w:tc>
        <w:tc>
          <w:tcPr>
            <w:tcW w:type="dxa" w:w="2520"/>
            <w:shd w:fill="F4F7F8" w:color="auto" w:val="clear"/>
            <w:tcMar>
              <w:top w:type="dxa" w:w="70"/>
              <w:left w:type="dxa" w:w="110"/>
              <w:bottom w:type="dxa" w:w="70"/>
              <w:right w:type="dxa" w:w="110"/>
            </w:tcMar>
          </w:tcPr>
          <w:p>
            <w:pPr>
              <w:jc w:val="left"/>
            </w:pPr>
            <w:r>
              <w:rPr>
                <w:b w:val="false"/>
                <w:bCs w:val="false"/>
                <w:color w:val="000000"/>
                <w:sz w:val="19"/>
                <w:szCs w:val="19"/>
              </w:rPr>
              <w:t xml:space="preserve">This model</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$48.43</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1.97%</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$178.93</w:t>
            </w:r>
          </w:p>
        </w:tc>
        <w:tc>
          <w:tcPr>
            <w:tcW w:type="dxa" w:w="936"/>
            <w:shd w:fill="F4F7F8" w:color="auto" w:val="clear"/>
            <w:tcMar>
              <w:top w:type="dxa" w:w="70"/>
              <w:left w:type="dxa" w:w="110"/>
              <w:bottom w:type="dxa" w:w="70"/>
              <w:right w:type="dxa" w:w="110"/>
            </w:tcMar>
          </w:tcPr>
          <w:p>
            <w:pPr>
              <w:jc w:val="right"/>
            </w:pPr>
            <w:r>
              <w:rPr>
                <w:b w:val="false"/>
                <w:bCs w:val="false"/>
                <w:color w:val="000000"/>
                <w:sz w:val="19"/>
                <w:szCs w:val="19"/>
              </w:rPr>
              <w:t xml:space="preserve">0.983</w:t>
            </w:r>
          </w:p>
        </w:tc>
      </w:tr>
      <w:tr>
        <w:tc>
          <w:tcPr>
            <w:tcW w:type="dxa" w:w="1800"/>
            <w:tcMar>
              <w:top w:type="dxa" w:w="70"/>
              <w:left w:type="dxa" w:w="110"/>
              <w:bottom w:type="dxa" w:w="70"/>
              <w:right w:type="dxa" w:w="110"/>
            </w:tcMar>
          </w:tcPr>
          <w:p>
            <w:pPr>
              <w:jc w:val="left"/>
            </w:pPr>
            <w:r>
              <w:rPr>
                <w:b w:val="false"/>
                <w:bCs w:val="false"/>
                <w:color w:val="000000"/>
                <w:sz w:val="19"/>
                <w:szCs w:val="19"/>
              </w:rPr>
              <w:t xml:space="preserve">1 Sep 2025</w:t>
            </w:r>
          </w:p>
        </w:tc>
        <w:tc>
          <w:tcPr>
            <w:tcW w:type="dxa" w:w="2520"/>
            <w:tcMar>
              <w:top w:type="dxa" w:w="70"/>
              <w:left w:type="dxa" w:w="110"/>
              <w:bottom w:type="dxa" w:w="70"/>
              <w:right w:type="dxa" w:w="110"/>
            </w:tcMar>
          </w:tcPr>
          <w:p>
            <w:pPr>
              <w:jc w:val="left"/>
            </w:pPr>
            <w:r>
              <w:rPr>
                <w:b w:val="false"/>
                <w:bCs w:val="false"/>
                <w:color w:val="000000"/>
                <w:sz w:val="19"/>
                <w:szCs w:val="19"/>
              </w:rPr>
              <w:t xml:space="preserve">Lane median $/mile</w:t>
            </w:r>
          </w:p>
        </w:tc>
        <w:tc>
          <w:tcPr>
            <w:tcW w:type="dxa" w:w="1368"/>
            <w:tcMar>
              <w:top w:type="dxa" w:w="70"/>
              <w:left w:type="dxa" w:w="110"/>
              <w:bottom w:type="dxa" w:w="70"/>
              <w:right w:type="dxa" w:w="110"/>
            </w:tcMar>
          </w:tcPr>
          <w:p>
            <w:pPr>
              <w:jc w:val="right"/>
            </w:pPr>
            <w:r>
              <w:rPr>
                <w:b w:val="false"/>
                <w:bCs w:val="false"/>
                <w:color w:val="000000"/>
                <w:sz w:val="19"/>
                <w:szCs w:val="19"/>
              </w:rPr>
              <w:t xml:space="preserve">$94.19</w:t>
            </w:r>
          </w:p>
        </w:tc>
        <w:tc>
          <w:tcPr>
            <w:tcW w:type="dxa" w:w="1368"/>
            <w:tcMar>
              <w:top w:type="dxa" w:w="70"/>
              <w:left w:type="dxa" w:w="110"/>
              <w:bottom w:type="dxa" w:w="70"/>
              <w:right w:type="dxa" w:w="110"/>
            </w:tcMar>
          </w:tcPr>
          <w:p>
            <w:pPr>
              <w:jc w:val="right"/>
            </w:pPr>
            <w:r>
              <w:rPr>
                <w:b w:val="false"/>
                <w:bCs w:val="false"/>
                <w:color w:val="000000"/>
                <w:sz w:val="19"/>
                <w:szCs w:val="19"/>
              </w:rPr>
              <w:t xml:space="preserve">3.91%</w:t>
            </w:r>
          </w:p>
        </w:tc>
        <w:tc>
          <w:tcPr>
            <w:tcW w:type="dxa" w:w="1368"/>
            <w:tcMar>
              <w:top w:type="dxa" w:w="70"/>
              <w:left w:type="dxa" w:w="110"/>
              <w:bottom w:type="dxa" w:w="70"/>
              <w:right w:type="dxa" w:w="110"/>
            </w:tcMar>
          </w:tcPr>
          <w:p>
            <w:pPr>
              <w:jc w:val="right"/>
            </w:pPr>
            <w:r>
              <w:rPr>
                <w:b w:val="false"/>
                <w:bCs w:val="false"/>
                <w:color w:val="000000"/>
                <w:sz w:val="19"/>
                <w:szCs w:val="19"/>
              </w:rPr>
              <w:t xml:space="preserve">$226.07</w:t>
            </w:r>
          </w:p>
        </w:tc>
        <w:tc>
          <w:tcPr>
            <w:tcW w:type="dxa" w:w="936"/>
            <w:tcMar>
              <w:top w:type="dxa" w:w="70"/>
              <w:left w:type="dxa" w:w="110"/>
              <w:bottom w:type="dxa" w:w="70"/>
              <w:right w:type="dxa" w:w="110"/>
            </w:tcMar>
          </w:tcPr>
          <w:p>
            <w:pPr>
              <w:jc w:val="right"/>
            </w:pPr>
            <w:r>
              <w:rPr>
                <w:b w:val="false"/>
                <w:bCs w:val="false"/>
                <w:color w:val="000000"/>
                <w:sz w:val="19"/>
                <w:szCs w:val="19"/>
              </w:rPr>
              <w:t xml:space="preserve">0.973</w:t>
            </w:r>
          </w:p>
        </w:tc>
      </w:tr>
      <w:tr>
        <w:tc>
          <w:tcPr>
            <w:tcW w:type="dxa" w:w="1800"/>
            <w:shd w:fill="F4F7F8" w:color="auto" w:val="clear"/>
            <w:tcMar>
              <w:top w:type="dxa" w:w="70"/>
              <w:left w:type="dxa" w:w="110"/>
              <w:bottom w:type="dxa" w:w="70"/>
              <w:right w:type="dxa" w:w="110"/>
            </w:tcMar>
          </w:tcPr>
          <w:p>
            <w:pPr>
              <w:jc w:val="left"/>
            </w:pPr>
            <w:r>
              <w:rPr>
                <w:b w:val="false"/>
                <w:bCs w:val="false"/>
                <w:color w:val="000000"/>
                <w:sz w:val="19"/>
                <w:szCs w:val="19"/>
              </w:rPr>
              <w:t xml:space="preserve">1 Sep 2025</w:t>
            </w:r>
          </w:p>
        </w:tc>
        <w:tc>
          <w:tcPr>
            <w:tcW w:type="dxa" w:w="2520"/>
            <w:shd w:fill="F4F7F8" w:color="auto" w:val="clear"/>
            <w:tcMar>
              <w:top w:type="dxa" w:w="70"/>
              <w:left w:type="dxa" w:w="110"/>
              <w:bottom w:type="dxa" w:w="70"/>
              <w:right w:type="dxa" w:w="110"/>
            </w:tcMar>
          </w:tcPr>
          <w:p>
            <w:pPr>
              <w:jc w:val="left"/>
            </w:pPr>
            <w:r>
              <w:rPr>
                <w:b w:val="false"/>
                <w:bCs w:val="false"/>
                <w:color w:val="000000"/>
                <w:sz w:val="19"/>
                <w:szCs w:val="19"/>
              </w:rPr>
              <w:t xml:space="preserve">This model</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$45.81</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1.83%</w:t>
            </w:r>
          </w:p>
        </w:tc>
        <w:tc>
          <w:tcPr>
            <w:tcW w:type="dxa" w:w="1368"/>
            <w:shd w:fill="F4F7F8" w:color="auto" w:val="clear"/>
            <w:tcMar>
              <w:top w:type="dxa" w:w="70"/>
              <w:left w:type="dxa" w:w="110"/>
              <w:bottom w:type="dxa" w:w="70"/>
              <w:right w:type="dxa" w:w="110"/>
            </w:tcMar>
          </w:tcPr>
          <w:p>
            <w:pPr>
              <w:jc w:val="right"/>
            </w:pPr>
            <w:r>
              <w:rPr>
                <w:b w:val="false"/>
                <w:bCs w:val="false"/>
                <w:color w:val="000000"/>
                <w:sz w:val="19"/>
                <w:szCs w:val="19"/>
              </w:rPr>
              <w:t xml:space="preserve">$190.29</w:t>
            </w:r>
          </w:p>
        </w:tc>
        <w:tc>
          <w:tcPr>
            <w:tcW w:type="dxa" w:w="936"/>
            <w:shd w:fill="F4F7F8" w:color="auto" w:val="clear"/>
            <w:tcMar>
              <w:top w:type="dxa" w:w="70"/>
              <w:left w:type="dxa" w:w="110"/>
              <w:bottom w:type="dxa" w:w="70"/>
              <w:right w:type="dxa" w:w="110"/>
            </w:tcMar>
          </w:tcPr>
          <w:p>
            <w:pPr>
              <w:jc w:val="right"/>
            </w:pPr>
            <w:r>
              <w:rPr>
                <w:b w:val="false"/>
                <w:bCs w:val="false"/>
                <w:color w:val="000000"/>
                <w:sz w:val="19"/>
                <w:szCs w:val="19"/>
              </w:rPr>
              <w:t xml:space="preserve">0.981</w:t>
            </w:r>
          </w:p>
        </w:tc>
      </w:tr>
      <w:tr>
        <w:tc>
          <w:tcPr>
            <w:tcW w:type="dxa" w:w="1800"/>
            <w:tcMar>
              <w:top w:type="dxa" w:w="70"/>
              <w:left w:type="dxa" w:w="110"/>
              <w:bottom w:type="dxa" w:w="70"/>
              <w:right w:type="dxa" w:w="110"/>
            </w:tcMar>
          </w:tcPr>
          <w:p>
            <w:pPr>
              <w:jc w:val="left"/>
            </w:pPr>
            <w:r>
              <w:rPr>
                <w:b w:val="false"/>
                <w:bCs w:val="false"/>
                <w:color w:val="000000"/>
                <w:sz w:val="19"/>
                <w:szCs w:val="19"/>
              </w:rPr>
              <w:t xml:space="preserve">Average</w:t>
            </w:r>
          </w:p>
        </w:tc>
        <w:tc>
          <w:tcPr>
            <w:tcW w:type="dxa" w:w="2520"/>
            <w:tcMar>
              <w:top w:type="dxa" w:w="70"/>
              <w:left w:type="dxa" w:w="110"/>
              <w:bottom w:type="dxa" w:w="70"/>
              <w:right w:type="dxa" w:w="110"/>
            </w:tcMar>
          </w:tcPr>
          <w:p>
            <w:pPr>
              <w:jc w:val="left"/>
            </w:pPr>
            <w:r>
              <w:rPr>
                <w:b w:val="false"/>
                <w:bCs w:val="false"/>
                <w:color w:val="000000"/>
                <w:sz w:val="19"/>
                <w:szCs w:val="19"/>
              </w:rPr>
              <w:t xml:space="preserve">This model</w:t>
            </w:r>
          </w:p>
        </w:tc>
        <w:tc>
          <w:tcPr>
            <w:tcW w:type="dxa" w:w="1368"/>
            <w:tcMar>
              <w:top w:type="dxa" w:w="70"/>
              <w:left w:type="dxa" w:w="110"/>
              <w:bottom w:type="dxa" w:w="70"/>
              <w:right w:type="dxa" w:w="110"/>
            </w:tcMar>
          </w:tcPr>
          <w:p>
            <w:pPr>
              <w:jc w:val="right"/>
            </w:pPr>
            <w:r>
              <w:rPr>
                <w:b w:val="false"/>
                <w:bCs w:val="false"/>
                <w:color w:val="000000"/>
                <w:sz w:val="19"/>
                <w:szCs w:val="19"/>
              </w:rPr>
              <w:t xml:space="preserve">$43.69</w:t>
            </w:r>
          </w:p>
        </w:tc>
        <w:tc>
          <w:tcPr>
            <w:tcW w:type="dxa" w:w="1368"/>
            <w:tcMar>
              <w:top w:type="dxa" w:w="70"/>
              <w:left w:type="dxa" w:w="110"/>
              <w:bottom w:type="dxa" w:w="70"/>
              <w:right w:type="dxa" w:w="110"/>
            </w:tcMar>
          </w:tcPr>
          <w:p>
            <w:pPr>
              <w:jc w:val="right"/>
            </w:pPr>
            <w:r>
              <w:rPr>
                <w:b w:val="false"/>
                <w:bCs w:val="false"/>
                <w:color w:val="000000"/>
                <w:sz w:val="19"/>
                <w:szCs w:val="19"/>
              </w:rPr>
              <w:t xml:space="preserve">1.80%</w:t>
            </w:r>
          </w:p>
        </w:tc>
        <w:tc>
          <w:tcPr>
            <w:tcW w:type="dxa" w:w="1368"/>
            <w:tcMar>
              <w:top w:type="dxa" w:w="70"/>
              <w:left w:type="dxa" w:w="110"/>
              <w:bottom w:type="dxa" w:w="70"/>
              <w:right w:type="dxa" w:w="110"/>
            </w:tcMar>
          </w:tcPr>
          <w:p>
            <w:pPr>
              <w:jc w:val="right"/>
            </w:pPr>
            <w:r>
              <w:rPr>
                <w:b w:val="false"/>
                <w:bCs w:val="false"/>
                <w:color w:val="000000"/>
                <w:sz w:val="19"/>
                <w:szCs w:val="19"/>
              </w:rPr>
              <w:t xml:space="preserve">$168.91</w:t>
            </w:r>
          </w:p>
        </w:tc>
        <w:tc>
          <w:tcPr>
            <w:tcW w:type="dxa" w:w="936"/>
            <w:tcMar>
              <w:top w:type="dxa" w:w="70"/>
              <w:left w:type="dxa" w:w="110"/>
              <w:bottom w:type="dxa" w:w="70"/>
              <w:right w:type="dxa" w:w="110"/>
            </w:tcMar>
          </w:tcPr>
          <w:p>
            <w:pPr>
              <w:jc w:val="right"/>
            </w:pPr>
            <w:r>
              <w:rPr>
                <w:b w:val="false"/>
                <w:bCs w:val="false"/>
                <w:color w:val="000000"/>
                <w:sz w:val="19"/>
                <w:szCs w:val="19"/>
              </w:rPr>
              <w:t xml:space="preserve">0.985</w:t>
            </w:r>
          </w:p>
        </w:tc>
      </w:tr>
    </w:tbl>
    <w:p>
      <w:pPr>
        <w:spacing w:after="220"/>
        <w:jc w:val="center"/>
      </w:pPr>
      <w:r>
        <w:rPr>
          <w:i/>
          <w:iCs/>
          <w:color w:val="455A60"/>
          <w:sz w:val="17"/>
          <w:szCs w:val="17"/>
        </w:rPr>
        <w:t xml:space="preserve">Scored on holdout labels that pass the corruption screen. Over every holdout row, including corrupted labels, the model averages $92.46 MAE against the benchmark's $147.70 — the gap between the two columns is the ~1.3% of labels that no model can predict.</w:t>
      </w:r>
    </w:p>
    <w:p>
      <w:pPr>
        <w:spacing w:after="130" w:line="276"/>
      </w:pPr>
      <w:r>
        <w:rPr>
          <w:sz w:val="21"/>
          <w:szCs w:val="21"/>
        </w:rPr>
        <w:t xml:space="preserve">The model is very slightly conservative (mean predicted / actual = 0.997). That residual bias is a consequence of extrapolating the drift; damping it further traded away more accuracy than it bought.</w:t>
      </w:r>
    </w:p>
    <w:p>
      <w:pPr>
        <w:pStyle w:val="Heading1"/>
        <w:spacing w:after="140" w:before="320"/>
      </w:pPr>
      <w:r>
        <w:rPr>
          <w:b/>
          <w:bCs/>
          <w:color w:val="064A56"/>
          <w:sz w:val="26"/>
          <w:szCs w:val="26"/>
        </w:rPr>
        <w:t xml:space="preserve">8. December chart</w:t>
      </w:r>
    </w:p>
    <w:p>
      <w:pPr>
        <w:spacing w:after="130" w:line="276"/>
      </w:pPr>
      <w:r>
        <w:rPr>
          <w:sz w:val="21"/>
          <w:szCs w:val="21"/>
        </w:rPr>
        <w:t xml:space="preserve">The chart below is the file produced by the provided </w:t>
      </w:r>
      <w:r>
        <w:rPr>
          <w:rFonts w:ascii="Consolas" w:cs="Consolas" w:eastAsia="Consolas" w:hAnsi="Consolas"/>
          <w:sz w:val="20"/>
          <w:szCs w:val="20"/>
        </w:rPr>
        <w:t xml:space="preserve">score.py</w:t>
      </w:r>
      <w:r>
        <w:rPr>
          <w:sz w:val="21"/>
          <w:szCs w:val="21"/>
        </w:rPr>
        <w:t xml:space="preserve"> from the completed data/december_chart_inputs.csv — one Lexington → Fort Wayne load, 360 miles, Dry Van, 32,000 lb, on each of the 31 days of December. Only the date changes.</w:t>
      </w:r>
    </w:p>
    <w:p>
      <w:pPr>
        <w:spacing w:after="60" w:before="140"/>
        <w:jc w:val="center"/>
      </w:pPr>
      <w:r>
        <w:drawing>
          <wp:inline distT="0" distB="0" distL="0" distR="0">
            <wp:extent cx="59436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33575"/>
                    </a:xfrm>
                    <a:prstGeom prst="rect">
                      <a:avLst/>
                    </a:prstGeom>
                  </pic:spPr>
                </pic:pic>
              </a:graphicData>
            </a:graphic>
          </wp:inline>
        </w:drawing>
      </w:r>
    </w:p>
    <w:p>
      <w:pPr>
        <w:spacing w:after="220"/>
        <w:jc w:val="center"/>
      </w:pPr>
      <w:r>
        <w:rPr>
          <w:i/>
          <w:iCs/>
          <w:color w:val="455A60"/>
          <w:sz w:val="17"/>
          <w:szCs w:val="17"/>
        </w:rPr>
        <w:t xml:space="preserve">scorer_results/candidate_december.png</w:t>
      </w:r>
    </w:p>
    <w:p>
      <w:pPr>
        <w:spacing w:after="130" w:line="276"/>
      </w:pPr>
      <w:r>
        <w:rPr>
          <w:sz w:val="21"/>
          <w:szCs w:val="21"/>
        </w:rPr>
        <w:t xml:space="preserve">Two things show up, and both are intended:</w:t>
      </w:r>
    </w:p>
    <w:p>
      <w:pPr>
        <w:pStyle w:val="ListParagraph"/>
        <w:numPr>
          <w:ilvl w:val="0"/>
          <w:numId w:val="2"/>
        </w:numPr>
        <w:spacing w:after="80" w:line="276"/>
      </w:pPr>
      <w:r>
        <w:rPr>
          <w:b/>
          <w:bCs/>
          <w:sz w:val="21"/>
          <w:szCs w:val="21"/>
        </w:rPr>
        <w:t xml:space="preserve">The weekly cycle. </w:t>
      </w:r>
      <w:r>
        <w:rPr>
          <w:sz w:val="21"/>
          <w:szCs w:val="21"/>
        </w:rPr>
        <w:t xml:space="preserve">Rates peak mid-week and bottom out at the weekend, a swing of about $20 (2.4%). It comes from market_index, which is published for every December day, so the model is reading a real given input rather than inventing a pattern.</w:t>
      </w:r>
    </w:p>
    <w:p>
      <w:pPr>
        <w:pStyle w:val="ListParagraph"/>
        <w:numPr>
          <w:ilvl w:val="0"/>
          <w:numId w:val="2"/>
        </w:numPr>
        <w:spacing w:after="80" w:line="276"/>
      </w:pPr>
      <w:r>
        <w:rPr>
          <w:b/>
          <w:bCs/>
          <w:sz w:val="21"/>
          <w:szCs w:val="21"/>
        </w:rPr>
        <w:t xml:space="preserve">The upward drift. </w:t>
      </w:r>
      <w:r>
        <w:rPr>
          <w:sz w:val="21"/>
          <w:szCs w:val="21"/>
        </w:rPr>
        <w:t xml:space="preserve">The month opens around $841 and closes around $865. That is the year-long drift, extrapolated — the same mechanism that was validated on the rolling holdouts.</w:t>
      </w:r>
    </w:p>
    <w:p>
      <w:pPr>
        <w:spacing w:after="130" w:line="276"/>
      </w:pPr>
      <w:r>
        <w:rPr>
          <w:sz w:val="21"/>
          <w:szCs w:val="21"/>
        </w:rPr>
        <w:t xml:space="preserve">The December rows ship without coordinates or a market index, so both are reconstructed: coordinates from the city table shared by both data sets, market index from the daily level published in validation.csv. The level, ~$2.36 per mile, is consistent with this lane's history — the same lane averaged $2.19 per mile in January, and eleven months of drift accounts for the difference.</w:t>
      </w:r>
    </w:p>
    <w:p>
      <w:pPr>
        <w:pStyle w:val="Heading1"/>
        <w:spacing w:after="140" w:before="320"/>
      </w:pPr>
      <w:r>
        <w:rPr>
          <w:b/>
          <w:bCs/>
          <w:color w:val="064A56"/>
          <w:sz w:val="26"/>
          <w:szCs w:val="26"/>
        </w:rPr>
        <w:t xml:space="preserve">9. Limits and what I would do next</w:t>
      </w:r>
    </w:p>
    <w:p>
      <w:pPr>
        <w:pStyle w:val="ListParagraph"/>
        <w:numPr>
          <w:ilvl w:val="0"/>
          <w:numId w:val="2"/>
        </w:numPr>
        <w:spacing w:after="80" w:line="276"/>
      </w:pPr>
      <w:r>
        <w:rPr>
          <w:sz w:val="21"/>
          <w:szCs w:val="21"/>
        </w:rPr>
        <w:t xml:space="preserve">Ten months of history means the drift can only be read as a straight line. A second year of data would separate trend from seasonality, and December — a month with holiday capacity effects that this data set cannot show — is exactly where that matters.</w:t>
      </w:r>
    </w:p>
    <w:p>
      <w:pPr>
        <w:pStyle w:val="ListParagraph"/>
        <w:numPr>
          <w:ilvl w:val="0"/>
          <w:numId w:val="2"/>
        </w:numPr>
        <w:spacing w:after="80" w:line="276"/>
      </w:pPr>
      <w:r>
        <w:rPr>
          <w:sz w:val="21"/>
          <w:szCs w:val="21"/>
        </w:rPr>
        <w:t xml:space="preserve">The model returns a point estimate. For pricing decisions a quantile version (10th/50th/90th) would be more useful than a single number, and costs almost nothing to add.</w:t>
      </w:r>
    </w:p>
    <w:p>
      <w:pPr>
        <w:pStyle w:val="ListParagraph"/>
        <w:numPr>
          <w:ilvl w:val="0"/>
          <w:numId w:val="2"/>
        </w:numPr>
        <w:spacing w:after="80" w:line="276"/>
      </w:pPr>
      <w:r>
        <w:rPr>
          <w:sz w:val="21"/>
          <w:szCs w:val="21"/>
        </w:rPr>
        <w:t xml:space="preserve">Corrupted labels are screened, not explained. In production the right move is to trace where the 1.3% comes from rather than filter it on every retrain.</w:t>
      </w:r>
    </w:p>
    <w:p>
      <w:pPr>
        <w:pStyle w:val="ListParagraph"/>
        <w:numPr>
          <w:ilvl w:val="0"/>
          <w:numId w:val="2"/>
        </w:numPr>
        <w:spacing w:after="80" w:line="276"/>
      </w:pPr>
      <w:r>
        <w:rPr>
          <w:sz w:val="21"/>
          <w:szCs w:val="21"/>
        </w:rPr>
        <w:t xml:space="preserve">The error left is close to the noise floor of this data, so further gains will come from new information — carrier capacity, fuel, lane-level seasonality — rather than from a bigger model.</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16425ceb6c02c132449805e1e7efb39e799ba5.png"/><Relationship Id="rId8" Type="http://schemas.openxmlformats.org/officeDocument/2006/relationships/image" Target="media/72817b9300742f7623254031c3e2198a9db7cc60.png"/><Relationship Id="rId9" Type="http://schemas.openxmlformats.org/officeDocument/2006/relationships/image" Target="media/1a166b51e5e1d4b9c8eb74b37932581426bbc4d3.png"/><Relationship Id="rId10" Type="http://schemas.openxmlformats.org/officeDocument/2006/relationships/image" Target="media/927e3e23c211661efb495cb169cedc2093ecf891.png"/><Relationship Id="rId11" Type="http://schemas.openxmlformats.org/officeDocument/2006/relationships/image" Target="media/fc1b7ace3ba60a593948379a337d30d0e05a81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 Spotter ML Assessment</dc:title>
  <dc:creator>Leutrim Istrefi</dc:creator>
  <cp:lastModifiedBy>Un-named</cp:lastModifiedBy>
  <cp:revision>1</cp:revision>
  <dcterms:created xsi:type="dcterms:W3CDTF">2026-09-23T21:50:53.981Z</dcterms:created>
  <dcterms:modified xsi:type="dcterms:W3CDTF">2026-09-23T21:50:53.982Z</dcterms:modified>
</cp:coreProperties>
</file>

<file path=docProps/custom.xml><?xml version="1.0" encoding="utf-8"?>
<Properties xmlns="http://schemas.openxmlformats.org/officeDocument/2006/custom-properties" xmlns:vt="http://schemas.openxmlformats.org/officeDocument/2006/docPropsVTypes"/>
</file>