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0"/>
        <w:jc w:val="center"/>
      </w:pPr>
      <w:bookmarkStart w:id="0" w:name="_GoBack"/>
      <w:r>
        <w:rPr>
          <w:rFonts w:ascii="Times New Roman" w:hAnsi="Times New Roman" w:eastAsia="Times New Roman" w:cs="Times New Roman"/>
          <w:b/>
          <w:bCs/>
          <w:color w:val="1F6F43"/>
          <w:sz w:val="36"/>
          <w:szCs w:val="36"/>
        </w:rPr>
        <w:t>FoodResQ — Final Defense Demo Scenario</w:t>
      </w:r>
    </w:p>
    <w:p>
      <w:pPr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Capstone SP26SE088 | FPT University</w:t>
      </w:r>
    </w:p>
    <w:p>
      <w:pPr>
        <w:spacing w:after="240"/>
        <w:jc w:val="center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This document describes the 35-minute demonstration scenario of the FoodResQ system, covering two core business flows carried out across both the web portal and the mobile application.</w:t>
      </w:r>
    </w:p>
    <w:p>
      <w:pPr>
        <w:pStyle w:val="2"/>
        <w:spacing w:before="320" w:after="140"/>
      </w:pPr>
      <w:r>
        <w:rPr>
          <w:rFonts w:ascii="Times New Roman" w:hAnsi="Times New Roman" w:eastAsia="Times New Roman" w:cs="Times New Roman"/>
          <w:b/>
          <w:bCs/>
          <w:color w:val="1F6F43"/>
          <w:sz w:val="28"/>
          <w:szCs w:val="28"/>
        </w:rPr>
        <w:t>1. Purpose and scope</w:t>
      </w:r>
    </w:p>
    <w:p>
      <w:pPr>
        <w:spacing w:after="120"/>
      </w:pPr>
      <w:r>
        <w:rPr>
          <w:rFonts w:ascii="Times New Roman" w:hAnsi="Times New Roman" w:eastAsia="Times New Roman" w:cs="Times New Roman"/>
          <w:sz w:val="22"/>
          <w:szCs w:val="22"/>
        </w:rPr>
        <w:t>The demonstration presents the two core business flows of FoodResQ as a single continuous story: a food outlet with 20 unsold meal portions at the end of the day, and a charity organisation running a community kitchen that prepares 100 meals for patients’ families. Together the two flows exercise all four actors of the system — Provider, Receiver, Volunteer and Charity Organisation — and show the web portal and the mobile application working together.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Flow 1 — Surplus meal rescue: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from the provider publishing surplus food to the receiver taking delivery through a volunteer courier.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Flow 2 — Community kitchen campaign: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from the organisation creating a campaign to the completion of meal distribution and the final report.</w:t>
      </w:r>
    </w:p>
    <w:p>
      <w:pPr>
        <w:pStyle w:val="2"/>
        <w:spacing w:before="320" w:after="140"/>
      </w:pPr>
      <w:r>
        <w:rPr>
          <w:rFonts w:ascii="Times New Roman" w:hAnsi="Times New Roman" w:eastAsia="Times New Roman" w:cs="Times New Roman"/>
          <w:b/>
          <w:bCs/>
          <w:color w:val="1F6F43"/>
          <w:sz w:val="28"/>
          <w:szCs w:val="28"/>
        </w:rPr>
        <w:t>2. Demonstration environment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4460"/>
        <w:gridCol w:w="2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10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446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Address / description</w:t>
            </w:r>
          </w:p>
        </w:tc>
        <w:tc>
          <w:tcPr>
            <w:tcW w:w="280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Notes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Web portal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https://capstone-food-res-q-web-web.vercel.app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Deployed on Vercel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API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https://capstone-foodresq-web.onrender.com/api/v1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Deployed on Render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API documentation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https://capstone-foodresq-web.onrender.com/api/docs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Swagger UI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Database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PostgreSQL 17 with PostGIS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Hosted on Supabase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Mobile application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Android build installed on physical devices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Two handsets: one for the courier volunteer, one for the kitchen volunteer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sz w:val="22"/>
          <w:szCs w:val="22"/>
        </w:rPr>
        <w:t>The entire demonstration runs against the deployed environment; no localhost instance is used. The projected screen is split in two: the web portal on the left and the mirrored phone screen on the right, so that the committee can follow both sides at the same time.</w:t>
      </w:r>
    </w:p>
    <w:p>
      <w:pPr>
        <w:pStyle w:val="2"/>
        <w:spacing w:before="320" w:after="140"/>
      </w:pPr>
      <w:r>
        <w:rPr>
          <w:rFonts w:ascii="Times New Roman" w:hAnsi="Times New Roman" w:eastAsia="Times New Roman" w:cs="Times New Roman"/>
          <w:b/>
          <w:bCs/>
          <w:color w:val="1F6F43"/>
          <w:sz w:val="28"/>
          <w:szCs w:val="28"/>
        </w:rPr>
        <w:t>3. Role assignment and speaking time</w:t>
      </w:r>
    </w:p>
    <w:p>
      <w:pPr>
        <w:spacing w:after="120"/>
      </w:pPr>
      <w:r>
        <w:rPr>
          <w:rFonts w:ascii="Times New Roman" w:hAnsi="Times New Roman" w:eastAsia="Times New Roman" w:cs="Times New Roman"/>
          <w:sz w:val="22"/>
          <w:szCs w:val="22"/>
        </w:rPr>
        <w:t>The team does not use a separate presenter. Each member narrates the part of the system they operate.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2860"/>
        <w:gridCol w:w="2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Member</w:t>
            </w:r>
          </w:p>
        </w:tc>
        <w:tc>
          <w:tcPr>
            <w:tcW w:w="300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Role in the system</w:t>
            </w:r>
          </w:p>
        </w:tc>
        <w:tc>
          <w:tcPr>
            <w:tcW w:w="286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200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Speaking 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Provider and Administrator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Laptop — browser profiles 1 and 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Approx. 8 minutes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Receiver and Kitchen volunteer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Laptop — browser profile 3; Phone B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Approx. 8 minutes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Courier volunteer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Phone A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Approx. 8 minutes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SV4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Charity organisation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Laptop — browser profile 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Approx. 11 minutes</w:t>
            </w:r>
          </w:p>
        </w:tc>
      </w:tr>
    </w:tbl>
    <w:p>
      <w:pPr>
        <w:pStyle w:val="2"/>
        <w:spacing w:before="320" w:after="140"/>
      </w:pPr>
      <w:r>
        <w:rPr>
          <w:rFonts w:ascii="Times New Roman" w:hAnsi="Times New Roman" w:eastAsia="Times New Roman" w:cs="Times New Roman"/>
          <w:b/>
          <w:bCs/>
          <w:color w:val="1F6F43"/>
          <w:sz w:val="28"/>
          <w:szCs w:val="28"/>
        </w:rPr>
        <w:t>4. Initial data preconditions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2"/>
          <w:szCs w:val="22"/>
        </w:rPr>
        <w:t>The individual receiver account has completed face verification (eKYC), which is mandatory before any reservation can be made.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2"/>
          <w:szCs w:val="22"/>
        </w:rPr>
        <w:t>The courier volunteer account has been approved by an administrator and has registered a delivery shift covering the demonstration time slot.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2"/>
          <w:szCs w:val="22"/>
        </w:rPr>
        <w:t>The provider account and the charity organisation account have been approved.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2"/>
          <w:szCs w:val="22"/>
        </w:rPr>
        <w:t>Location, camera and notification permissions have been granted on the mobile devices.</w:t>
      </w:r>
    </w:p>
    <w:p>
      <w:pPr>
        <w:pStyle w:val="2"/>
        <w:spacing w:before="320" w:after="140"/>
      </w:pPr>
      <w:r>
        <w:rPr>
          <w:rFonts w:ascii="Times New Roman" w:hAnsi="Times New Roman" w:eastAsia="Times New Roman" w:cs="Times New Roman"/>
          <w:b/>
          <w:bCs/>
          <w:color w:val="1F6F43"/>
          <w:sz w:val="28"/>
          <w:szCs w:val="28"/>
        </w:rPr>
        <w:t>5. Flow 1 — Surplus meal rescue (12 minutes)</w:t>
      </w:r>
    </w:p>
    <w:p>
      <w:pPr>
        <w:spacing w:after="120"/>
      </w:pPr>
      <w:r>
        <w:rPr>
          <w:rFonts w:ascii="Times New Roman" w:hAnsi="Times New Roman" w:eastAsia="Times New Roman" w:cs="Times New Roman"/>
          <w:sz w:val="22"/>
          <w:szCs w:val="22"/>
        </w:rPr>
        <w:t>Context: at 2 p.m. a rice eatery still has 20 unsold portions that would otherwise be discarded at closing time. The provider publishes them on FoodResQ.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2"/>
        <w:gridCol w:w="1686"/>
        <w:gridCol w:w="3152"/>
        <w:gridCol w:w="3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170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Performed by</w:t>
            </w:r>
          </w:p>
        </w:tc>
        <w:tc>
          <w:tcPr>
            <w:tcW w:w="320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Action in the system</w:t>
            </w:r>
          </w:p>
        </w:tc>
        <w:tc>
          <w:tcPr>
            <w:tcW w:w="336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Narration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0:00–1:30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Web (Provider)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Create a food listing: title, number of portions, pickup time window, photographs and the pickup address selected on the map, then publish it.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 provider needs less than a minute to publish surplus food. The pickup coordinates are stored as PostGIS spatial data.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1:30–3:00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Web (Receiver)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Browse nearby food listings; the newly published listing appears with its distance.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The receiver only sees listings within a 5 km radius, ranked by real distance using the PostGIS ST_DWithin query.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3:00–5:00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Web (Receiver)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Open the listing, choose the number of portions, select home delivery, enter the delivery address and the preferred time, then confirm the reservation.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The reservation runs inside a transaction guarded by a Redis distributed lock, so the reserved quantity can never exceed the remaining portions even under concurrent requests.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5:00–6:00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Web (Receiver)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The system displays the receiver’s QR code and order reference.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The QR code is valid for 30 minutes and serves as the proof of handover to the correct person.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6:00–8:00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Phone 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Open the Delivery screen; the new order appears in the list of pending deliveries with its distance and trip length; claim the order.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Volunteers choose the orders they can actually take within a 5 km radius. The system only allows claiming orders that fall inside a registered shift and excludes volunteers already assigned to a campaign shift in the same slot.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8:00–10:30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Phone 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Update the status to arriving at the pickup point, take the quality-check photograph, then start the delivery with live map tracking.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The quality-check photograph documents the condition of the food at pickup. The courier position is streamed to the receiver in real time over WebSocket.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10:30–11:30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Phone 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Scan the QR code shown on the receiver’s screen; the order moves to the delivered state.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The system requires a successful QR scan before the delivery can be completed, ensuring the food reaches the person who reserved it.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11:30–12:00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Web (Receiver)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Open the order history; the order appears under the received group and the trust score increases.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Receivers who collect on time gain trust points, whereas no-shows lose points and may have their reservation rights restricted.</w:t>
            </w:r>
          </w:p>
        </w:tc>
      </w:tr>
    </w:tbl>
    <w:p>
      <w:pPr>
        <w:pStyle w:val="2"/>
        <w:spacing w:before="320" w:after="140"/>
      </w:pPr>
      <w:r>
        <w:rPr>
          <w:rFonts w:ascii="Times New Roman" w:hAnsi="Times New Roman" w:eastAsia="Times New Roman" w:cs="Times New Roman"/>
          <w:b/>
          <w:bCs/>
          <w:color w:val="1F6F43"/>
          <w:sz w:val="28"/>
          <w:szCs w:val="28"/>
        </w:rPr>
        <w:t>6. Flow 2 — Community kitchen campaign (18 minutes)</w:t>
      </w:r>
    </w:p>
    <w:p>
      <w:pPr>
        <w:spacing w:after="120"/>
      </w:pPr>
      <w:r>
        <w:rPr>
          <w:rFonts w:ascii="Times New Roman" w:hAnsi="Times New Roman" w:eastAsia="Times New Roman" w:cs="Times New Roman"/>
          <w:sz w:val="22"/>
          <w:szCs w:val="22"/>
        </w:rPr>
        <w:t>Context: a charity organisation prepares 100 meals for patients’ families. It needs ingredients contributed by food providers and volunteers for the kitchen, serving and courier shifts.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2"/>
        <w:gridCol w:w="1693"/>
        <w:gridCol w:w="3149"/>
        <w:gridCol w:w="33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170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Performed by</w:t>
            </w:r>
          </w:p>
        </w:tc>
        <w:tc>
          <w:tcPr>
            <w:tcW w:w="320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Action in the system</w:t>
            </w:r>
          </w:p>
        </w:tc>
        <w:tc>
          <w:tcPr>
            <w:tcW w:w="336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Narration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0:00–2:30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Web (Organisation)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Create a kitchen campaign: title, kitchen location on the map, operating period, menu, work shifts and the number of volunteers required for each role.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Campaigns are organised by shift and by role, which makes task assignment explicit for each group of volunteers.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2:30–3:30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Web (Administrator)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Open the list of campaigns awaiting approval and approve the new campaign.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Administrative review precedes volunteer recruitment, which protects the platform against fictitious campaigns.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3:30–5:00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Web (Organisation)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Open recruitment or invite volunteers directly, then review registrations and shift confirmations.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The recruitment window closes a configurable period before operations begin, so the organisation knows in advance whether it is adequately staffed.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5:00–6:30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Web (Organisation)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Send an ingredient request to a provider: items, quantity, pickup time and whether transport is required.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The organisation sources ingredients directly from providers holding surplus food rather than purchasing them on the market.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6:30–7:30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Web (Provider)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Review the ingredient request and accept it.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Providers respond within a defined deadline; the system closes the request automatically once the deadline passes.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7:30–9:30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Phone 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Accept the ingredient pickup task, travel to the provider, record the weight actually received together with a photograph, and confirm.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The weight actually received is recorded separately because donated goods rarely match the requested amount exactly. This figure feeds the impact report.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9:30–10:30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Web (Organisation)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Confirm receipt of the ingredients at the kitchen.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Cooking stages open only once the required ingredients have arrived.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10:30–13:00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Phone B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The kitchen volunteer checks in for the shift, opens the assigned dish and completes four stages in order — preparation, cooking, plating and ready for distribution — each with a photograph as evidence.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 stage becomes available only after the preceding stage is complete and its scheduled time has been reached. Photographic evidence is mandatory at every stage.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13:00–14:30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Web (Organisation)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Review the evidence for each stage and approve the dish, or reject it with a reason so that the kitchen repeats the work.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The organisation performs the final quality control before any meal is distributed.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14:30–16:30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Web and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Phone 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The organisation creates a distribution round, selects the distribution point and assigns volunteers. The volunteer accepts the task, travels to the point and scans each recipient’s QR code to record every portion served.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Each portion served is linked to an identified recipient through the QR scan, so the reported figures reflect what actually happened.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16:30–18:00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SV4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— Web (Organisation)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Open the campaign report: total portions served, number of people served, weight of ingredients used and dedication points awarded to volunteers; then close the campaign.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Every figure in the report is traceable to the evidence photographs of each cooking stage and to each individual QR scan.</w:t>
            </w:r>
          </w:p>
        </w:tc>
      </w:tr>
    </w:tbl>
    <w:p>
      <w:pPr>
        <w:pStyle w:val="2"/>
        <w:spacing w:before="320" w:after="140"/>
      </w:pPr>
      <w:r>
        <w:rPr>
          <w:rFonts w:ascii="Times New Roman" w:hAnsi="Times New Roman" w:eastAsia="Times New Roman" w:cs="Times New Roman"/>
          <w:b/>
          <w:bCs/>
          <w:color w:val="1F6F43"/>
          <w:sz w:val="28"/>
          <w:szCs w:val="28"/>
        </w:rPr>
        <w:t>7. Introduction, conclusion and time allocation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676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Content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Introduction — SV1 (3 minutes)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Present the problem of edible food being discarded while many people still lack daily meals; introduce the FoodResQ solution with its four actors and outline the two flows that will be demonstrated.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Conclusion — SV4 (2 minutes)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Summarise the main technical contributions: proximity search with PostGIS, a Redis distributed lock that prevents overbooking of the remaining portions, shift-based delivery claiming, face verification, two-sided QR confirmation of handover, and the trust score and dedication point systems. Close with the impact statistics page.</w:t>
            </w:r>
          </w:p>
        </w:tc>
      </w:tr>
    </w:tbl>
    <w:p>
      <w:pPr>
        <w:spacing w:after="12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2560"/>
        <w:gridCol w:w="1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256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Presenter</w:t>
            </w:r>
          </w:p>
        </w:tc>
        <w:tc>
          <w:tcPr>
            <w:tcW w:w="1800" w:type="dxa"/>
            <w:shd w:val="clear" w:color="auto" w:fill="DCE9D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Duration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Introduction: problem statement and proposed solution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SV1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 minutes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Flow 1 — Surplus meal rescue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SV1, SV2, SV3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12 minutes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Flow 2 — Community kitchen campaign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SV4, SV1, SV3, SV2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18 minutes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Conclusion and future development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SV4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 minutes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35 minutes</w:t>
            </w:r>
          </w:p>
        </w:tc>
      </w:tr>
    </w:tbl>
    <w:p/>
    <w:bookmarkEnd w:id="0"/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Times New Roman" w:hAnsi="Times New Roman" w:eastAsia="Times New Roman" w:cs="Times New Roman"/>
        <w:color w:val="808080"/>
        <w:sz w:val="18"/>
        <w:szCs w:val="18"/>
      </w:rPr>
      <w:t xml:space="preserve">Page </w:t>
    </w:r>
    <w:r>
      <w:rPr>
        <w:rFonts w:ascii="Times New Roman" w:hAnsi="Times New Roman" w:eastAsia="Times New Roman" w:cs="Times New Roman"/>
        <w:color w:val="808080"/>
        <w:sz w:val="18"/>
        <w:szCs w:val="18"/>
      </w:rPr>
      <w:fldChar w:fldCharType="begin"/>
    </w:r>
    <w:r>
      <w:rPr>
        <w:rFonts w:ascii="Times New Roman" w:hAnsi="Times New Roman" w:eastAsia="Times New Roman" w:cs="Times New Roman"/>
        <w:color w:val="808080"/>
        <w:sz w:val="18"/>
        <w:szCs w:val="18"/>
      </w:rPr>
      <w:instrText xml:space="preserve">PAGE</w:instrText>
    </w:r>
    <w:r>
      <w:rPr>
        <w:rFonts w:ascii="Times New Roman" w:hAnsi="Times New Roman" w:eastAsia="Times New Roman" w:cs="Times New Roman"/>
        <w:color w:val="808080"/>
        <w:sz w:val="18"/>
        <w:szCs w:val="18"/>
      </w:rPr>
      <w:fldChar w:fldCharType="separate"/>
    </w:r>
    <w:r>
      <w:rPr>
        <w:rFonts w:ascii="Times New Roman" w:hAnsi="Times New Roman" w:eastAsia="Times New Roman" w:cs="Times New Roman"/>
        <w:color w:val="808080"/>
        <w:sz w:val="18"/>
        <w:szCs w:val="18"/>
      </w:rPr>
      <w:fldChar w:fldCharType="end"/>
    </w:r>
    <w:r>
      <w:rPr>
        <w:rFonts w:ascii="Times New Roman" w:hAnsi="Times New Roman" w:eastAsia="Times New Roman" w:cs="Times New Roman"/>
        <w:color w:val="808080"/>
        <w:sz w:val="18"/>
        <w:szCs w:val="18"/>
      </w:rPr>
      <w:t xml:space="preserve"> of </w:t>
    </w:r>
    <w:r>
      <w:rPr>
        <w:rFonts w:ascii="Times New Roman" w:hAnsi="Times New Roman" w:eastAsia="Times New Roman" w:cs="Times New Roman"/>
        <w:color w:val="808080"/>
        <w:sz w:val="18"/>
        <w:szCs w:val="18"/>
      </w:rPr>
      <w:fldChar w:fldCharType="begin"/>
    </w:r>
    <w:r>
      <w:rPr>
        <w:rFonts w:ascii="Times New Roman" w:hAnsi="Times New Roman" w:eastAsia="Times New Roman" w:cs="Times New Roman"/>
        <w:color w:val="808080"/>
        <w:sz w:val="18"/>
        <w:szCs w:val="18"/>
      </w:rPr>
      <w:instrText xml:space="preserve">NUMPAGES</w:instrText>
    </w:r>
    <w:r>
      <w:rPr>
        <w:rFonts w:ascii="Times New Roman" w:hAnsi="Times New Roman" w:eastAsia="Times New Roman" w:cs="Times New Roman"/>
        <w:color w:val="808080"/>
        <w:sz w:val="18"/>
        <w:szCs w:val="18"/>
      </w:rPr>
      <w:fldChar w:fldCharType="separate"/>
    </w:r>
    <w:r>
      <w:rPr>
        <w:rFonts w:ascii="Times New Roman" w:hAnsi="Times New Roman" w:eastAsia="Times New Roman" w:cs="Times New Roman"/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rFonts w:ascii="Times New Roman" w:hAnsi="Times New Roman" w:eastAsia="Times New Roman" w:cs="Times New Roman"/>
        <w:color w:val="808080"/>
        <w:sz w:val="18"/>
        <w:szCs w:val="18"/>
      </w:rPr>
      <w:t>FoodResQ — Final Defense Demo Scenario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BFA79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Office_11.2.0.9052_F1E327BC-269C-435d-A152-05C5408002CA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2026-09-23T05:43:00Z</dcterms:created>
  <dc:creator>FoodResQ Team</dc:creator>
  <cp:lastModifiedBy>Le Duc Tri (K18 HCM)</cp:lastModifiedBy>
  <dcterms:modified xsi:type="dcterms:W3CDTF">2026-09-23T05:46:52Z</dcterms:modified>
  <dc:title>FoodResQ — Final Defense Demo Scenario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