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jc w:val="center"/>
      </w:pPr>
      <w:r>
        <w:rPr>
          <w:rFonts w:ascii="Times New Roman" w:hAnsi="Times New Roman" w:eastAsia="Times New Roman" w:cs="Times New Roman"/>
          <w:b/>
          <w:bCs/>
          <w:color w:val="1F6F43"/>
          <w:sz w:val="36"/>
          <w:szCs w:val="36"/>
        </w:rPr>
        <w:t>FoodResQ — Kịch bản Demo bảo vệ</w:t>
      </w:r>
    </w:p>
    <w:p>
      <w:pPr>
        <w:spacing w:after="60"/>
        <w:jc w:val="center"/>
      </w:pPr>
      <w:r>
        <w:rPr>
          <w:rFonts w:ascii="Times New Roman" w:hAnsi="Times New Roman" w:eastAsia="Times New Roman" w:cs="Times New Roman"/>
          <w:b/>
          <w:bCs/>
          <w:sz w:val="22"/>
          <w:szCs w:val="22"/>
        </w:rPr>
        <w:t>Capstone SP26SE088 | FPT University</w:t>
      </w:r>
    </w:p>
    <w:p>
      <w:pPr>
        <w:spacing w:after="240"/>
        <w:jc w:val="center"/>
      </w:pPr>
      <w:r>
        <w:rPr>
          <w:rFonts w:ascii="Times New Roman" w:hAnsi="Times New Roman" w:eastAsia="Times New Roman" w:cs="Times New Roman"/>
          <w:i/>
          <w:iCs/>
          <w:sz w:val="22"/>
          <w:szCs w:val="22"/>
        </w:rPr>
        <w:t>Tài liệu mô tả kịch bản trình diễn hệ thống FoodResQ trong 35 phút, gồm hai luồng nghiệp vụ chính chạy xuyên suốt trên cả nền tảng Web và ứng dụng Mobile.</w:t>
      </w:r>
    </w:p>
    <w:p>
      <w:pPr>
        <w:pStyle w:val="2"/>
        <w:spacing w:before="320" w:after="140"/>
      </w:pPr>
      <w:r>
        <w:rPr>
          <w:rFonts w:ascii="Times New Roman" w:hAnsi="Times New Roman" w:eastAsia="Times New Roman" w:cs="Times New Roman"/>
          <w:b/>
          <w:bCs/>
          <w:color w:val="1F6F43"/>
          <w:sz w:val="28"/>
          <w:szCs w:val="28"/>
        </w:rPr>
        <w:t>1. Mục đích và phạm vi</w:t>
      </w:r>
    </w:p>
    <w:p>
      <w:pPr>
        <w:spacing w:after="120"/>
      </w:pPr>
      <w:r>
        <w:rPr>
          <w:rFonts w:ascii="Times New Roman" w:hAnsi="Times New Roman" w:eastAsia="Times New Roman" w:cs="Times New Roman"/>
          <w:sz w:val="22"/>
          <w:szCs w:val="22"/>
        </w:rPr>
        <w:t>Buổi demo trình bày hai luồng nghiệp vụ cốt lõi của FoodResQ theo một câu chuyện thống nhất: một cơ sở kinh doanh ăn uống còn dư 20 suất cơm trong ngày, và một tổ chức từ thiện tổ chức bếp ăn nấu 100 suất cho người nhà bệnh nhân. Hai luồng cho thấy đầy đủ bốn vai của hệ thống — Nhà cung cấp, Người nhận, Tình nguyện viên và Tổ chức từ thiện — cùng sự phối hợp giữa giao diện Web và ứng dụng Mobile.</w:t>
      </w:r>
    </w:p>
    <w:p>
      <w:pPr>
        <w:pStyle w:val="16"/>
        <w:numPr>
          <w:ilvl w:val="0"/>
          <w:numId w:val="1"/>
        </w:numPr>
        <w:spacing w:after="60"/>
      </w:pPr>
      <w:r>
        <w:rPr>
          <w:rFonts w:ascii="Times New Roman" w:hAnsi="Times New Roman" w:eastAsia="Times New Roman" w:cs="Times New Roman"/>
          <w:b/>
          <w:bCs/>
          <w:sz w:val="22"/>
          <w:szCs w:val="22"/>
        </w:rPr>
        <w:t>Luồng 1 — Giải cứu suất ăn dư:</w:t>
      </w:r>
      <w:r>
        <w:rPr>
          <w:rFonts w:ascii="Times New Roman" w:hAnsi="Times New Roman" w:eastAsia="Times New Roman" w:cs="Times New Roman"/>
          <w:sz w:val="22"/>
          <w:szCs w:val="22"/>
        </w:rPr>
        <w:t xml:space="preserve"> từ lúc nhà cung cấp đăng thực phẩm đến khi người nhận nhận được hàng qua tình nguyện viên giao vận.</w:t>
      </w:r>
    </w:p>
    <w:p>
      <w:pPr>
        <w:pStyle w:val="16"/>
        <w:numPr>
          <w:ilvl w:val="0"/>
          <w:numId w:val="1"/>
        </w:numPr>
        <w:spacing w:after="60"/>
      </w:pPr>
      <w:r>
        <w:rPr>
          <w:rFonts w:ascii="Times New Roman" w:hAnsi="Times New Roman" w:eastAsia="Times New Roman" w:cs="Times New Roman"/>
          <w:b/>
          <w:bCs/>
          <w:sz w:val="22"/>
          <w:szCs w:val="22"/>
        </w:rPr>
        <w:t>Luồng 2 — Bếp ăn thiện nguyện:</w:t>
      </w:r>
      <w:r>
        <w:rPr>
          <w:rFonts w:ascii="Times New Roman" w:hAnsi="Times New Roman" w:eastAsia="Times New Roman" w:cs="Times New Roman"/>
          <w:sz w:val="22"/>
          <w:szCs w:val="22"/>
        </w:rPr>
        <w:t xml:space="preserve"> từ lúc tổ chức lập chiến dịch đến khi hoàn tất phân phát suất ăn và kết xuất báo cáo.</w:t>
      </w:r>
    </w:p>
    <w:p>
      <w:pPr>
        <w:pStyle w:val="2"/>
        <w:spacing w:before="320" w:after="140"/>
      </w:pPr>
      <w:r>
        <w:rPr>
          <w:rFonts w:ascii="Times New Roman" w:hAnsi="Times New Roman" w:eastAsia="Times New Roman" w:cs="Times New Roman"/>
          <w:b/>
          <w:bCs/>
          <w:color w:val="1F6F43"/>
          <w:sz w:val="28"/>
          <w:szCs w:val="28"/>
        </w:rPr>
        <w:t>2. Môi trường trình diễn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460"/>
        <w:gridCol w:w="2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Thành phần</w:t>
            </w:r>
          </w:p>
        </w:tc>
        <w:tc>
          <w:tcPr>
            <w:tcW w:w="44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Địa chỉ / mô tả</w:t>
            </w:r>
          </w:p>
        </w:tc>
        <w:tc>
          <w:tcPr>
            <w:tcW w:w="28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Cổng Web</w:t>
            </w:r>
          </w:p>
        </w:tc>
        <w:tc>
          <w:tcPr>
            <w:tcW w:w="44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https://capstone-food-res-q-web-web.vercel.app</w:t>
            </w:r>
          </w:p>
        </w:tc>
        <w:tc>
          <w:tcPr>
            <w:tcW w:w="2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Triển khai trên Vercel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API</w:t>
            </w:r>
          </w:p>
        </w:tc>
        <w:tc>
          <w:tcPr>
            <w:tcW w:w="44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https://capstone-foodresq-web.onrender.com/api/v1</w:t>
            </w:r>
          </w:p>
        </w:tc>
        <w:tc>
          <w:tcPr>
            <w:tcW w:w="2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Triển khai trên Render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Tài liệu API</w:t>
            </w:r>
          </w:p>
        </w:tc>
        <w:tc>
          <w:tcPr>
            <w:tcW w:w="44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https://capstone-foodresq-web.onrender.com/api/docs</w:t>
            </w:r>
          </w:p>
        </w:tc>
        <w:tc>
          <w:tcPr>
            <w:tcW w:w="2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Swagger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Cơ sở dữ liệu</w:t>
            </w:r>
          </w:p>
        </w:tc>
        <w:tc>
          <w:tcPr>
            <w:tcW w:w="44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PostgreSQL 17 + PostGIS</w:t>
            </w:r>
          </w:p>
        </w:tc>
        <w:tc>
          <w:tcPr>
            <w:tcW w:w="2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Triển khai trên Supabase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Ứng dụng Mobile</w:t>
            </w:r>
          </w:p>
        </w:tc>
        <w:tc>
          <w:tcPr>
            <w:tcW w:w="44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Bản build Android cài sẵn trên thiết bị thật</w:t>
            </w:r>
          </w:p>
        </w:tc>
        <w:tc>
          <w:tcPr>
            <w:tcW w:w="2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Hai điện thoại: một cho tình nguyện viên giao vận, một cho tình nguyện viên bếp</w:t>
            </w:r>
          </w:p>
        </w:tc>
      </w:tr>
    </w:tbl>
    <w:p>
      <w:pPr>
        <w:spacing w:after="120"/>
      </w:pPr>
      <w:r>
        <w:rPr>
          <w:rFonts w:ascii="Times New Roman" w:hAnsi="Times New Roman" w:eastAsia="Times New Roman" w:cs="Times New Roman"/>
          <w:sz w:val="22"/>
          <w:szCs w:val="22"/>
        </w:rPr>
        <w:t>Toàn bộ buổi demo chạy trên bản đã triển khai, không sử dụng môi trường localhost. Màn hình được chia đôi: bên trái là giao diện Web, bên phải là màn hình điện thoại được chiếu lên, để hội đồng theo dõi đồng thời hai phía.</w:t>
      </w:r>
    </w:p>
    <w:p>
      <w:pPr>
        <w:pStyle w:val="2"/>
        <w:spacing w:before="320" w:after="140"/>
      </w:pPr>
      <w:r>
        <w:rPr>
          <w:rFonts w:ascii="Times New Roman" w:hAnsi="Times New Roman" w:eastAsia="Times New Roman" w:cs="Times New Roman"/>
          <w:b/>
          <w:bCs/>
          <w:color w:val="1F6F43"/>
          <w:sz w:val="28"/>
          <w:szCs w:val="28"/>
        </w:rPr>
        <w:t>3. Phân vai và thời lượng trình bày</w:t>
      </w:r>
    </w:p>
    <w:p>
      <w:pPr>
        <w:spacing w:after="120"/>
      </w:pPr>
      <w:r>
        <w:rPr>
          <w:rFonts w:ascii="Times New Roman" w:hAnsi="Times New Roman" w:eastAsia="Times New Roman" w:cs="Times New Roman"/>
          <w:sz w:val="22"/>
          <w:szCs w:val="22"/>
        </w:rPr>
        <w:t>Nhóm không bố trí người dẫn chương trình riêng. Thành viên nào thao tác phần nào sẽ trực tiếp thuyết minh phần đó.</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286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Thành viên</w:t>
            </w:r>
          </w:p>
        </w:tc>
        <w:tc>
          <w:tcPr>
            <w:tcW w:w="30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Vai trong hệ thống</w:t>
            </w:r>
          </w:p>
        </w:tc>
        <w:tc>
          <w:tcPr>
            <w:tcW w:w="28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Thiết bị</w:t>
            </w:r>
          </w:p>
        </w:tc>
        <w:tc>
          <w:tcPr>
            <w:tcW w:w="20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Thời lượng trình bày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SV1</w:t>
            </w:r>
          </w:p>
        </w:tc>
        <w:tc>
          <w:tcPr>
            <w:tcW w:w="3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Nhà cung cấp và Quản trị viên</w:t>
            </w:r>
          </w:p>
        </w:tc>
        <w:tc>
          <w:tcPr>
            <w:tcW w:w="28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Máy tính — hồ sơ trình duyệt 1 và 2</w:t>
            </w:r>
          </w:p>
        </w:tc>
        <w:tc>
          <w:tcPr>
            <w:tcW w:w="2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Khoảng 8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p>
        </w:tc>
        <w:tc>
          <w:tcPr>
            <w:tcW w:w="3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Người nhận và Tình nguyện viên bếp</w:t>
            </w:r>
          </w:p>
        </w:tc>
        <w:tc>
          <w:tcPr>
            <w:tcW w:w="28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Máy tính — hồ sơ trình duyệt 3; Điện thoại B</w:t>
            </w:r>
          </w:p>
        </w:tc>
        <w:tc>
          <w:tcPr>
            <w:tcW w:w="2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Khoảng 8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SV3</w:t>
            </w:r>
          </w:p>
        </w:tc>
        <w:tc>
          <w:tcPr>
            <w:tcW w:w="3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Tình nguyện viên giao vận</w:t>
            </w:r>
          </w:p>
        </w:tc>
        <w:tc>
          <w:tcPr>
            <w:tcW w:w="28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Điện thoại A</w:t>
            </w:r>
          </w:p>
        </w:tc>
        <w:tc>
          <w:tcPr>
            <w:tcW w:w="2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Khoảng 8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p>
        </w:tc>
        <w:tc>
          <w:tcPr>
            <w:tcW w:w="3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 chức từ thiện</w:t>
            </w:r>
          </w:p>
        </w:tc>
        <w:tc>
          <w:tcPr>
            <w:tcW w:w="28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Máy tính — hồ sơ trình duyệt 4</w:t>
            </w:r>
          </w:p>
        </w:tc>
        <w:tc>
          <w:tcPr>
            <w:tcW w:w="2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Khoảng 11 phút</w:t>
            </w:r>
          </w:p>
        </w:tc>
      </w:tr>
    </w:tbl>
    <w:p>
      <w:pPr>
        <w:pStyle w:val="2"/>
        <w:spacing w:before="320" w:after="140"/>
      </w:pPr>
      <w:r>
        <w:rPr>
          <w:rFonts w:ascii="Times New Roman" w:hAnsi="Times New Roman" w:eastAsia="Times New Roman" w:cs="Times New Roman"/>
          <w:b/>
          <w:bCs/>
          <w:color w:val="1F6F43"/>
          <w:sz w:val="28"/>
          <w:szCs w:val="28"/>
        </w:rPr>
        <w:t>4. Điều kiện dữ liệu ban đầu</w:t>
      </w:r>
    </w:p>
    <w:p>
      <w:pPr>
        <w:pStyle w:val="16"/>
        <w:numPr>
          <w:ilvl w:val="0"/>
          <w:numId w:val="1"/>
        </w:numPr>
        <w:spacing w:after="60"/>
      </w:pPr>
      <w:r>
        <w:rPr>
          <w:rFonts w:ascii="Times New Roman" w:hAnsi="Times New Roman" w:eastAsia="Times New Roman" w:cs="Times New Roman"/>
          <w:sz w:val="22"/>
          <w:szCs w:val="22"/>
        </w:rPr>
        <w:t>Tài khoản người nhận cá nhân đã hoàn tất xác thực khuôn mặt (eKYC) — đây là điều kiện bắt buộc để được đặt suất ăn.</w:t>
      </w:r>
    </w:p>
    <w:p>
      <w:pPr>
        <w:pStyle w:val="16"/>
        <w:numPr>
          <w:ilvl w:val="0"/>
          <w:numId w:val="1"/>
        </w:numPr>
        <w:spacing w:after="60"/>
      </w:pPr>
      <w:r>
        <w:rPr>
          <w:rFonts w:ascii="Times New Roman" w:hAnsi="Times New Roman" w:eastAsia="Times New Roman" w:cs="Times New Roman"/>
          <w:sz w:val="22"/>
          <w:szCs w:val="22"/>
        </w:rPr>
        <w:t>Tài khoản tình nguyện viên giao vận đã được quản trị viên phê duyệt hồ sơ và đã đăng ký ca làm việc trùng khung giờ trình diễn.</w:t>
      </w:r>
    </w:p>
    <w:p>
      <w:pPr>
        <w:pStyle w:val="16"/>
        <w:numPr>
          <w:ilvl w:val="0"/>
          <w:numId w:val="1"/>
        </w:numPr>
        <w:spacing w:after="60"/>
      </w:pPr>
      <w:r>
        <w:rPr>
          <w:rFonts w:ascii="Times New Roman" w:hAnsi="Times New Roman" w:eastAsia="Times New Roman" w:cs="Times New Roman"/>
          <w:sz w:val="22"/>
          <w:szCs w:val="22"/>
        </w:rPr>
        <w:t>Tài khoản nhà cung cấp và tài khoản tổ chức từ thiện đã được phê duyệt.</w:t>
      </w:r>
    </w:p>
    <w:p>
      <w:pPr>
        <w:pStyle w:val="16"/>
        <w:numPr>
          <w:ilvl w:val="0"/>
          <w:numId w:val="1"/>
        </w:numPr>
        <w:spacing w:after="60"/>
      </w:pPr>
      <w:r>
        <w:rPr>
          <w:rFonts w:ascii="Times New Roman" w:hAnsi="Times New Roman" w:eastAsia="Times New Roman" w:cs="Times New Roman"/>
          <w:sz w:val="22"/>
          <w:szCs w:val="22"/>
        </w:rPr>
        <w:t>Thiết bị di động đã được cấp quyền truy cập vị trí, máy ảnh và thông báo.</w:t>
      </w:r>
    </w:p>
    <w:p>
      <w:pPr>
        <w:pStyle w:val="2"/>
        <w:spacing w:before="320" w:after="140"/>
      </w:pPr>
      <w:r>
        <w:rPr>
          <w:rFonts w:ascii="Times New Roman" w:hAnsi="Times New Roman" w:eastAsia="Times New Roman" w:cs="Times New Roman"/>
          <w:b/>
          <w:bCs/>
          <w:color w:val="1F6F43"/>
          <w:sz w:val="28"/>
          <w:szCs w:val="28"/>
        </w:rPr>
        <w:t>5. Luồng 1 — Giải cứu suất ăn dư (12 phút)</w:t>
      </w:r>
    </w:p>
    <w:p>
      <w:pPr>
        <w:spacing w:after="120"/>
      </w:pPr>
      <w:r>
        <w:rPr>
          <w:rFonts w:ascii="Times New Roman" w:hAnsi="Times New Roman" w:eastAsia="Times New Roman" w:cs="Times New Roman"/>
          <w:sz w:val="22"/>
          <w:szCs w:val="22"/>
        </w:rPr>
        <w:t>Bối cảnh: 14 giờ, một quán cơm còn 20 suất chưa bán hết và sẽ phải bỏ đi vào cuối ngày. Nhà cung cấp đăng số suất này lên FoodResQ.</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2"/>
        <w:gridCol w:w="1681"/>
        <w:gridCol w:w="3151"/>
        <w:gridCol w:w="3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Thời điểm</w:t>
            </w:r>
          </w:p>
        </w:tc>
        <w:tc>
          <w:tcPr>
            <w:tcW w:w="17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Người thực hiện</w:t>
            </w:r>
          </w:p>
        </w:tc>
        <w:tc>
          <w:tcPr>
            <w:tcW w:w="32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Thao tác trên hệ thống</w:t>
            </w:r>
          </w:p>
        </w:tc>
        <w:tc>
          <w:tcPr>
            <w:tcW w:w="33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Nội dung thuyết minh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0:00–1:30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SV1</w:t>
            </w:r>
            <w:r>
              <w:rPr>
                <w:rFonts w:ascii="Times New Roman" w:hAnsi="Times New Roman" w:eastAsia="Times New Roman" w:cs="Times New Roman"/>
                <w:b w:val="0"/>
                <w:bCs w:val="0"/>
                <w:sz w:val="20"/>
                <w:szCs w:val="20"/>
              </w:rPr>
              <w:t xml:space="preserve"> — Web (Nhà cung cấp)</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Tạo tin đăng thực phẩm: tên món, số suất, khung giờ nhận, hình ảnh và địa chỉ lấy hàng chọn trên bản đồ, sau đó công bố tin đăng.</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Nhà cung cấp chỉ mất chưa đầy một phút để đăng phần thực phẩm còn dư. Toạ độ điểm lấy hàng được lưu dưới dạng dữ liệu không gian PostGIS.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1:30–3:00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r>
              <w:rPr>
                <w:rFonts w:ascii="Times New Roman" w:hAnsi="Times New Roman" w:eastAsia="Times New Roman" w:cs="Times New Roman"/>
                <w:b w:val="0"/>
                <w:bCs w:val="0"/>
                <w:sz w:val="20"/>
                <w:szCs w:val="20"/>
              </w:rPr>
              <w:t xml:space="preserve"> — Web (Người nhận)</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Xem danh sách thực phẩm quanh vị trí hiện tại, tin đăng vừa tạo xuất hiện kèm khoảng cách.</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Người nhận chỉ thấy các điểm trong bán kính 5 km, sắp xếp theo khoảng cách thực tế bằng truy vấn ST_DWithin của PostGIS.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9" w:hRule="atLeast"/>
        </w:trPr>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3:00–5:00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r>
              <w:rPr>
                <w:rFonts w:ascii="Times New Roman" w:hAnsi="Times New Roman" w:eastAsia="Times New Roman" w:cs="Times New Roman"/>
                <w:b w:val="0"/>
                <w:bCs w:val="0"/>
                <w:sz w:val="20"/>
                <w:szCs w:val="20"/>
              </w:rPr>
              <w:t xml:space="preserve"> — Web (Người nhận)</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tin đăng, chọn số suất, chọn hình thức nhận là giao tận nơi, nhập địa chỉ và thời gian nhận, sau đó xác nhận đặt.</w:t>
            </w:r>
            <w:bookmarkStart w:id="0" w:name="_GoBack"/>
            <w:bookmarkEnd w:id="0"/>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Việc đặt suất được thực hiện trong một giao dịch có khoá phân tán Redis, bảo đảm số lượng đặt không bao giờ vượt quá số suất còn lại kể cả khi nhiều người thao tác đồng thời.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5:00–6:00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r>
              <w:rPr>
                <w:rFonts w:ascii="Times New Roman" w:hAnsi="Times New Roman" w:eastAsia="Times New Roman" w:cs="Times New Roman"/>
                <w:b w:val="0"/>
                <w:bCs w:val="0"/>
                <w:sz w:val="20"/>
                <w:szCs w:val="20"/>
              </w:rPr>
              <w:t xml:space="preserve"> — Web (Người nhận)</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Hệ thống hiển thị mã QR và mã đơn của người nhận.</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Mã QR có hiệu lực 30 phút và là căn cứ xác nhận giao đúng người.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6:00–8:00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SV3</w:t>
            </w:r>
            <w:r>
              <w:rPr>
                <w:rFonts w:ascii="Times New Roman" w:hAnsi="Times New Roman" w:eastAsia="Times New Roman" w:cs="Times New Roman"/>
                <w:b w:val="0"/>
                <w:bCs w:val="0"/>
                <w:sz w:val="20"/>
                <w:szCs w:val="20"/>
              </w:rPr>
              <w:t xml:space="preserve"> — Điện thoại A</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màn hình Giao hàng, đơn vừa tạo xuất hiện trong danh sách đơn chờ kèm khoảng cách và quãng đường, chọn nhận đơn.</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Tình nguyện viên chủ động chọn đơn phù hợp trong bán kính 5 km. Hệ thống chỉ cho nhận đơn nằm trong ca đã đăng ký và loại trừ người đang có ca chiến dịch trùng khung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8:00–10:30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SV3</w:t>
            </w:r>
            <w:r>
              <w:rPr>
                <w:rFonts w:ascii="Times New Roman" w:hAnsi="Times New Roman" w:eastAsia="Times New Roman" w:cs="Times New Roman"/>
                <w:b w:val="0"/>
                <w:bCs w:val="0"/>
                <w:sz w:val="20"/>
                <w:szCs w:val="20"/>
              </w:rPr>
              <w:t xml:space="preserve"> — Điện thoại A</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Cập nhật trạng thái đến điểm lấy hàng, chụp ảnh kiểm tra chất lượng, bắt đầu hành trình giao với bản đồ theo dõi vị trí.</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Ảnh kiểm tra chất lượng là bằng chứng về tình trạng thực phẩm tại thời điểm nhận. Vị trí của tình nguyện viên được truyền tới người nhận theo thời gian thực qua WebSocket.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10:30–11:30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SV3</w:t>
            </w:r>
            <w:r>
              <w:rPr>
                <w:rFonts w:ascii="Times New Roman" w:hAnsi="Times New Roman" w:eastAsia="Times New Roman" w:cs="Times New Roman"/>
                <w:b w:val="0"/>
                <w:bCs w:val="0"/>
                <w:sz w:val="20"/>
                <w:szCs w:val="20"/>
              </w:rPr>
              <w:t xml:space="preserve"> — Điện thoại A</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Quét mã QR đang hiển thị trên màn hình của người nhận, đơn chuyển sang trạng thái đã giao.</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Hệ thống bắt buộc quét mã QR mới cho phép hoàn tất đơn, nhằm bảo đảm thực phẩm được trao đúng người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11:30–12:00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r>
              <w:rPr>
                <w:rFonts w:ascii="Times New Roman" w:hAnsi="Times New Roman" w:eastAsia="Times New Roman" w:cs="Times New Roman"/>
                <w:b w:val="0"/>
                <w:bCs w:val="0"/>
                <w:sz w:val="20"/>
                <w:szCs w:val="20"/>
              </w:rPr>
              <w:t xml:space="preserve"> — Web (Người nhận)</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trang lịch sử đơn, đơn hiển thị ở nhóm đã nhận, điểm uy tín được cộng thêm.</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Người nhận đúng hẹn được cộng điểm uy tín. Trường hợp không đến sẽ bị trừ điểm và có thể bị hạn chế quyền đặt.</w:t>
            </w:r>
          </w:p>
        </w:tc>
      </w:tr>
    </w:tbl>
    <w:p>
      <w:pPr>
        <w:pStyle w:val="2"/>
        <w:spacing w:before="320" w:after="140"/>
      </w:pPr>
      <w:r>
        <w:rPr>
          <w:rFonts w:ascii="Times New Roman" w:hAnsi="Times New Roman" w:eastAsia="Times New Roman" w:cs="Times New Roman"/>
          <w:b/>
          <w:bCs/>
          <w:color w:val="1F6F43"/>
          <w:sz w:val="28"/>
          <w:szCs w:val="28"/>
        </w:rPr>
        <w:t>6. Luồng 2 — Bếp ăn thiện nguyện (18 phút)</w:t>
      </w:r>
    </w:p>
    <w:p>
      <w:pPr>
        <w:spacing w:after="120"/>
      </w:pPr>
      <w:r>
        <w:rPr>
          <w:rFonts w:ascii="Times New Roman" w:hAnsi="Times New Roman" w:eastAsia="Times New Roman" w:cs="Times New Roman"/>
          <w:sz w:val="22"/>
          <w:szCs w:val="22"/>
        </w:rPr>
        <w:t>Bối cảnh: một tổ chức từ thiện tổ chức nấu 100 suất ăn cho người nhà bệnh nhân. Tổ chức cần huy động nguyên liệu từ các nhà cung cấp và cần lực lượng tình nguyện viên cho các ca bếp, phục vụ và giao vận.</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2"/>
        <w:gridCol w:w="1682"/>
        <w:gridCol w:w="3155"/>
        <w:gridCol w:w="3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Thời điểm</w:t>
            </w:r>
          </w:p>
        </w:tc>
        <w:tc>
          <w:tcPr>
            <w:tcW w:w="17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Người thực hiện</w:t>
            </w:r>
          </w:p>
        </w:tc>
        <w:tc>
          <w:tcPr>
            <w:tcW w:w="32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Thao tác trên hệ thống</w:t>
            </w:r>
          </w:p>
        </w:tc>
        <w:tc>
          <w:tcPr>
            <w:tcW w:w="33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Nội dung thuyết minh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0:00–2:30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Tạo chiến dịch bếp ăn: tên chiến dịch, địa điểm bếp trên bản đồ, thời gian vận hành, thực đơn, các ca trực và số lượng tình nguyện viên cần cho từng vai.</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Chiến dịch được tổ chức theo ca và theo vai trò, giúp phân công công việc rõ ràng cho từng nhóm tình nguyện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2:30–3:30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SV1</w:t>
            </w:r>
            <w:r>
              <w:rPr>
                <w:rFonts w:ascii="Times New Roman" w:hAnsi="Times New Roman" w:eastAsia="Times New Roman" w:cs="Times New Roman"/>
                <w:b w:val="0"/>
                <w:bCs w:val="0"/>
                <w:sz w:val="20"/>
                <w:szCs w:val="20"/>
              </w:rPr>
              <w:t xml:space="preserve"> — Web (Quản trị viên)</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danh sách chiến dịch chờ duyệt và phê duyệt chiến dịch vừa tạo.</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Quản trị viên kiểm duyệt trước khi chiến dịch được mở tuyển tình nguyện viên, nhằm bảo đảm tính xác thực của hoạt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3:30–5:00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tuyển tình nguyện viên hoặc gửi lời mời trực tiếp, theo dõi danh sách đăng ký và xác nhận ca.</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Cửa sổ tuyển đóng trước thời điểm vận hành một khoảng đệm, giúp tổ chức biết trước nhân sự có đủ hay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5:00–6:30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Gửi yêu cầu nguyên liệu tới nhà cung cấp: loại nguyên liệu, khối lượng, thời gian lấy và nhu cầu vận chuyển.</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 chức huy động nguyên liệu trực tiếp từ các nhà cung cấp đang có thực phẩm dư, thay vì mua ngoài thị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6:30–7:30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SV1</w:t>
            </w:r>
            <w:r>
              <w:rPr>
                <w:rFonts w:ascii="Times New Roman" w:hAnsi="Times New Roman" w:eastAsia="Times New Roman" w:cs="Times New Roman"/>
                <w:b w:val="0"/>
                <w:bCs w:val="0"/>
                <w:sz w:val="20"/>
                <w:szCs w:val="20"/>
              </w:rPr>
              <w:t xml:space="preserve"> — Web (Nhà cung cấp)</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Xem yêu cầu nguyên liệu và chấp nhận.</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Nhà cung cấp chủ động phản hồi trong thời hạn quy định; quá hạn hệ thống tự động đóng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7:30–9:30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SV3</w:t>
            </w:r>
            <w:r>
              <w:rPr>
                <w:rFonts w:ascii="Times New Roman" w:hAnsi="Times New Roman" w:eastAsia="Times New Roman" w:cs="Times New Roman"/>
                <w:b w:val="0"/>
                <w:bCs w:val="0"/>
                <w:sz w:val="20"/>
                <w:szCs w:val="20"/>
              </w:rPr>
              <w:t xml:space="preserve"> — Điện thoại A</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Nhận nhiệm vụ lấy nguyên liệu, tới cơ sở của nhà cung cấp, nhập khối lượng thực nhận kèm ảnh và xác nhận.</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Khối lượng thực nhận luôn được ghi nhận riêng vì hàng quyên góp thường không đúng bằng khối lượng đăng ký. Đây là dữ liệu đầu vào cho báo cáo tác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9:30–10:30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Xác nhận đã nhận nguyên liệu tại bếp.</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Khi nguyên liệu đã về đủ, các công đoạn chế biến mới được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10:30–13:00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SV2</w:t>
            </w:r>
            <w:r>
              <w:rPr>
                <w:rFonts w:ascii="Times New Roman" w:hAnsi="Times New Roman" w:eastAsia="Times New Roman" w:cs="Times New Roman"/>
                <w:b w:val="0"/>
                <w:bCs w:val="0"/>
                <w:sz w:val="20"/>
                <w:szCs w:val="20"/>
              </w:rPr>
              <w:t xml:space="preserve"> — Điện thoại B</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Tình nguyện viên bếp điểm danh ca trực, mở món được phân công và hoàn thành lần lượt bốn công đoạn: sơ chế, nấu, trình bày và sẵn sàng phân phát, mỗi công đoạn kèm ảnh minh chứng.</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Công đoạn sau chỉ mở khi công đoạn trước đã hoàn tất và đã tới thời điểm theo kế hoạch. Mỗi công đoạn bắt buộc có ảnh minh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13:00–14:30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Xem ảnh minh chứng từng công đoạn và phê duyệt món, hoặc từ chối kèm lý do để bếp thực hiện lại.</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 chức giữ vai trò kiểm soát chất lượng cuối cùng trước khi suất ăn được phân phát.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14:30–16:30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và </w:t>
            </w:r>
            <w:r>
              <w:rPr>
                <w:rFonts w:ascii="Times New Roman" w:hAnsi="Times New Roman" w:eastAsia="Times New Roman" w:cs="Times New Roman"/>
                <w:b/>
                <w:bCs/>
                <w:sz w:val="20"/>
                <w:szCs w:val="20"/>
              </w:rPr>
              <w:t>SV3</w:t>
            </w:r>
            <w:r>
              <w:rPr>
                <w:rFonts w:ascii="Times New Roman" w:hAnsi="Times New Roman" w:eastAsia="Times New Roman" w:cs="Times New Roman"/>
                <w:b w:val="0"/>
                <w:bCs w:val="0"/>
                <w:sz w:val="20"/>
                <w:szCs w:val="20"/>
              </w:rPr>
              <w:t xml:space="preserve"> — Điện thoại A</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 chức tạo đợt phân phát, chọn điểm phát và phân công tình nguyện viên. Tình nguyện viên nhận nhiệm vụ, tới điểm phát và quét mã QR của người nhận để ghi nhận từng suất.</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Mỗi suất ăn phát ra được gắn với một người nhận cụ thể thông qua mã QR, bảo đảm số liệu thống kê phản ánh đúng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16:30–18:00</w:t>
            </w:r>
          </w:p>
        </w:tc>
        <w:tc>
          <w:tcPr>
            <w:tcW w:w="17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SV4</w:t>
            </w:r>
            <w:r>
              <w:rPr>
                <w:rFonts w:ascii="Times New Roman" w:hAnsi="Times New Roman" w:eastAsia="Times New Roman" w:cs="Times New Roman"/>
                <w:b w:val="0"/>
                <w:bCs w:val="0"/>
                <w:sz w:val="20"/>
                <w:szCs w:val="20"/>
              </w:rPr>
              <w:t xml:space="preserve"> — Web (Tổ chức)</w:t>
            </w:r>
          </w:p>
        </w:tc>
        <w:tc>
          <w:tcPr>
            <w:tcW w:w="32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báo cáo chiến dịch: tổng số suất đã phát, số người được phục vụ, khối lượng nguyên liệu đã sử dụng và điểm cống hiến của tình nguyện viên; hoàn tất chiến dịch.</w:t>
            </w:r>
          </w:p>
        </w:tc>
        <w:tc>
          <w:tcPr>
            <w:tcW w:w="33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Mọi số liệu trong báo cáo đều có thể truy vết tới ảnh minh chứng của từng công đoạn và từng lần quét mã QR.</w:t>
            </w:r>
          </w:p>
        </w:tc>
      </w:tr>
    </w:tbl>
    <w:p>
      <w:pPr>
        <w:pStyle w:val="2"/>
        <w:spacing w:before="320" w:after="140"/>
      </w:pPr>
      <w:r>
        <w:rPr>
          <w:rFonts w:ascii="Times New Roman" w:hAnsi="Times New Roman" w:eastAsia="Times New Roman" w:cs="Times New Roman"/>
          <w:b/>
          <w:bCs/>
          <w:color w:val="1F6F43"/>
          <w:sz w:val="28"/>
          <w:szCs w:val="28"/>
        </w:rPr>
        <w:t>7. Mở đầu, tổng kết và tổng hợp thời lượng</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Phần</w:t>
            </w:r>
          </w:p>
        </w:tc>
        <w:tc>
          <w:tcPr>
            <w:tcW w:w="67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Nội dung trình bày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Mở đầu — SV1 (3 phút)</w:t>
            </w:r>
          </w:p>
        </w:tc>
        <w:tc>
          <w:tcPr>
            <w:tcW w:w="67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Trình bày thực trạng thực phẩm còn dùng được bị bỏ đi trong khi nhiều người vẫn thiếu bữa ăn hằng ngày; giới thiệu giải pháp FoodResQ với bốn vai tham gia và nêu trước hai luồng nghiệp vụ sẽ trình diễn.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Tổng kết — SV4 (2 phút)</w:t>
            </w:r>
          </w:p>
        </w:tc>
        <w:tc>
          <w:tcPr>
            <w:tcW w:w="67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Tóm tắt các giải pháp kỹ thuật nổi bật: tìm kiếm theo bán kính với PostGIS, khoá phân tán Redis bảo đảm không vượt quá số suất còn lại, cơ chế nhận đơn theo ca đăng ký, xác thực khuôn mặt, xác nhận giao nhận bằng mã QR hai đầu, hệ thống điểm uy tín và điểm cống hiến. Kết thúc bằng trang thống kê tác động của hệ thống.</w:t>
            </w:r>
          </w:p>
        </w:tc>
      </w:tr>
    </w:tbl>
    <w:p>
      <w:pPr>
        <w:spacing w:after="12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256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Nội dung</w:t>
            </w:r>
          </w:p>
        </w:tc>
        <w:tc>
          <w:tcPr>
            <w:tcW w:w="256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Người trình bày</w:t>
            </w:r>
          </w:p>
        </w:tc>
        <w:tc>
          <w:tcPr>
            <w:tcW w:w="1800" w:type="dxa"/>
            <w:shd w:val="clear" w:color="auto" w:fill="DCE9DF"/>
            <w:tcMar>
              <w:top w:w="60" w:type="dxa"/>
              <w:left w:w="100" w:type="dxa"/>
              <w:bottom w:w="60" w:type="dxa"/>
              <w:right w:w="100" w:type="dxa"/>
            </w:tcMar>
          </w:tcPr>
          <w:p>
            <w:pPr>
              <w:spacing w:after="0"/>
            </w:pPr>
            <w:r>
              <w:rPr>
                <w:rFonts w:ascii="Times New Roman" w:hAnsi="Times New Roman" w:eastAsia="Times New Roman" w:cs="Times New Roman"/>
                <w:b/>
                <w:bCs/>
                <w:sz w:val="20"/>
                <w:szCs w:val="20"/>
              </w:rPr>
              <w:t>Thời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Giới thiệu đề tài, vấn đề và giải pháp</w:t>
            </w:r>
          </w:p>
        </w:tc>
        <w:tc>
          <w:tcPr>
            <w:tcW w:w="25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SV1</w:t>
            </w:r>
          </w:p>
        </w:tc>
        <w:tc>
          <w:tcPr>
            <w:tcW w:w="1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3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Luồng 1 — Giải cứu suất ăn dư</w:t>
            </w:r>
          </w:p>
        </w:tc>
        <w:tc>
          <w:tcPr>
            <w:tcW w:w="25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SV1, SV2, SV3</w:t>
            </w:r>
          </w:p>
        </w:tc>
        <w:tc>
          <w:tcPr>
            <w:tcW w:w="1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12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Luồng 2 — Bếp ăn thiện nguyện</w:t>
            </w:r>
          </w:p>
        </w:tc>
        <w:tc>
          <w:tcPr>
            <w:tcW w:w="25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SV4, SV1, SV3, SV2</w:t>
            </w:r>
          </w:p>
        </w:tc>
        <w:tc>
          <w:tcPr>
            <w:tcW w:w="1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18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Tổng kết và định hướng phát triển</w:t>
            </w:r>
          </w:p>
        </w:tc>
        <w:tc>
          <w:tcPr>
            <w:tcW w:w="256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SV4</w:t>
            </w:r>
          </w:p>
        </w:tc>
        <w:tc>
          <w:tcPr>
            <w:tcW w:w="1800" w:type="dxa"/>
            <w:tcMar>
              <w:top w:w="60" w:type="dxa"/>
              <w:left w:w="100" w:type="dxa"/>
              <w:bottom w:w="60" w:type="dxa"/>
              <w:right w:w="100" w:type="dxa"/>
            </w:tcMar>
          </w:tcPr>
          <w:p>
            <w:pPr>
              <w:spacing w:after="0"/>
            </w:pPr>
            <w:r>
              <w:rPr>
                <w:rFonts w:ascii="Times New Roman" w:hAnsi="Times New Roman" w:eastAsia="Times New Roman" w:cs="Times New Roman"/>
                <w:b w:val="0"/>
                <w:bCs w:val="0"/>
                <w:sz w:val="20"/>
                <w:szCs w:val="20"/>
              </w:rPr>
              <w:t>2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Tổng cộng</w:t>
            </w:r>
          </w:p>
        </w:tc>
        <w:tc>
          <w:tcPr>
            <w:tcW w:w="2560" w:type="dxa"/>
            <w:tcMar>
              <w:top w:w="60" w:type="dxa"/>
              <w:left w:w="100" w:type="dxa"/>
              <w:bottom w:w="60" w:type="dxa"/>
              <w:right w:w="100" w:type="dxa"/>
            </w:tcMar>
          </w:tcPr>
          <w:p>
            <w:pPr>
              <w:spacing w:after="0"/>
            </w:pPr>
          </w:p>
        </w:tc>
        <w:tc>
          <w:tcPr>
            <w:tcW w:w="1800" w:type="dxa"/>
            <w:tcMar>
              <w:top w:w="60" w:type="dxa"/>
              <w:left w:w="100" w:type="dxa"/>
              <w:bottom w:w="60" w:type="dxa"/>
              <w:right w:w="100" w:type="dxa"/>
            </w:tcMar>
          </w:tcPr>
          <w:p>
            <w:pPr>
              <w:spacing w:after="0"/>
            </w:pPr>
            <w:r>
              <w:rPr>
                <w:rFonts w:ascii="Times New Roman" w:hAnsi="Times New Roman" w:eastAsia="Times New Roman" w:cs="Times New Roman"/>
                <w:b/>
                <w:bCs/>
                <w:sz w:val="20"/>
                <w:szCs w:val="20"/>
              </w:rPr>
              <w:t>35 phút</w:t>
            </w:r>
          </w:p>
        </w:tc>
      </w:tr>
    </w:tbl>
    <w:p/>
    <w:sectPr>
      <w:headerReference r:id="rId3" w:type="default"/>
      <w:footerReference r:id="rId4"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color w:val="808080"/>
        <w:sz w:val="18"/>
        <w:szCs w:val="18"/>
      </w:rPr>
      <w:t xml:space="preserve">Trang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Times New Roman" w:hAnsi="Times New Roman" w:eastAsia="Times New Roman" w:cs="Times New Roman"/>
        <w:color w:val="808080"/>
        <w:sz w:val="18"/>
        <w:szCs w:val="18"/>
      </w:rPr>
      <w:t>FoodResQ — Kịch bản Demo bảo vệ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8C179"/>
    <w:multiLevelType w:val="singleLevel"/>
    <w:tmpl w:val="0248C179"/>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val="1"/>
  <w:documentProtection w:enforcement="0"/>
  <w:compat>
    <w:compatSetting w:name="compatibilityMode" w:uri="http://schemas.microsoft.com/office/word" w:val="15"/>
  </w:compat>
  <w:rsids>
    <w:rsidRoot w:val="00000000"/>
    <w:rsid w:val="66B776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2026-09-23T05:43:00Z</dcterms:created>
  <dc:creator>FoodResQ Team</dc:creator>
  <cp:lastModifiedBy>Le Duc Tri (K18 HCM)</cp:lastModifiedBy>
  <dcterms:modified xsi:type="dcterms:W3CDTF">2026-09-23T05:46:10Z</dcterms:modified>
  <dc:title>FoodResQ — Kịch bản Demo bảo vệ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