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CÔNG TY TNHH HỌC VIỆN THỂ THAO TỐC ĐỘ VIỆT NAM</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87 NGUYỄN CƠ THẠNH, PHƯỜNG AN LỢI ĐÔNG, QUẬN 2, TP HỒ CHÍ MINH</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TP. Hồ Chí Minh, ngày 05 tháng 11 năm 2020</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QUY ĐỊNH THI ĐẤU VÀ LỊCH TẬP LUYỆN</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TRONG QUÁ TRÌNH THAM GIA THI ĐẤU GIẢI</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VR GOKART VÀ YÊU CẦU KỸ THUẬT</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lệ giải đua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Đối tượng tham gia: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giải đua phải có Giấy phép đua xe còn hạn do VMA cấp. Trường hợp các tay đua chưa có Giấy phép đua xe do VMA cấp hoặc có giấy phép nhưng chưa đủ 18 tuổi phải có xác nhận bằng văn bản của đại diện một Câu lạc bộ Gokart được VMA công nhận và có chứng chỉ người đại diện (Entrant License).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Họp kỹ thuật trước cuộc đua: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Mọi tay đua tham dự giải đua phải tham dự buổi họp kỹ thuật trước cuộc đua theo khung giờ được Ban tổ chức thông báo.</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Trang bị bảo hộ: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Mọi tay đua khi tham gia các giải đua  phải trang bị và mặc đầy đủ đồ bảo hộ bao gồm quần áo đua, mũ bảo hiểm, gang tay, giầy, nẹp sườn khi điều khiển xe gokart.</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Tay đua khi liên quan đến va chạm hay tai nạn trong qua trình diễn ra cuộc đua không được phép tháo bất cứ trang bị bảo hộ nào khi chưa được di chuyển ra phía sau hàng rào bảo vệ.</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Thiết bị theo dõi thành tích: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Mọi tay đua phải đảm bảo xe mình được gắn bộ đếm giờ MYLAPS do Ban Tổ chức cung cấp và tự chíu trách nhiệm với việc này. Xe không gắn bộ tính giờ hoặc bộ tính giờ không hoạt động sẽ không được tính thành tích.</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Số định danh: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Mỗi tay đua sẽ được gắn số định danh. Số định dành này được đăng ký với Ban Tổ chức khi đăng ký tham dự giải. Việc quyết định số định danh cho các tay đua thuộc về Ban Tổ chức. Các tay đua phải đảm bảo xe của mình phải được gắn số định danh tại các vị trí do Ban Tổ chức quy định</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Quy cách số định danh:</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Số định danh có mầu đen trên nền vàng.</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Vị trí gắn số định danh: trên tấm chắn gió trước, trên cản bảo vệ sau xe, trên 2 tấm ốp hông xe.</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Số định danh cho các hạng xe: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Hạng Cedet: từ 100 đến 199</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Hạng Junior: Từ 01 đến 99</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Hạng Senior: từ 200 đến 299</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Cơ cấu giải đua:</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Phân hạng (Qualifying Practice): Tùy điều kiện thực tế của giải đua, Ban Tổ chức sẽ quy định thời gian của phần chạy Phân hạng từ 10 phút đến 15 phút</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Heats: Tùy điều kiện thực tế của giải đua, Ban Tổ chức có thể tiến hành hoặc không tiến hành các lượt chạy Heats. Mối lượt chạy Heat nếu được tổ chức sẽ từ 10 đến 12 vòng chạy và Ban Tổ chức toàn quyến quyết định số vòng chạy của các lượt chạy Heat.</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Bán kết – Pre-Final: Mọi giải đua do VMA bảo trợ hoặc nằm trong hệ thống các giải đua của VMA phải tiến hành lượt chạy Bán kết. Ban Tổ chức toàn quyền quyết định số vòng chạy của lượt chạy Bán kết nhưng không ít hơn 12 vòng.</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Chung kết – Final: Mọi giải đua  phải tiến hành lượt chạy Bán kết. Ban Tổ chức toàn quyền quyết định số vòng chạy của lượt chạy Bán kết nhưng không ít hơn 14 vòng.</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Thứ tự vị trí xuất phát: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Vị trí xuất phát của các tay đua được căn cứ vào thành tích của lượt chạy Phân Hạng và được tính theo thời gian tốt nhất mà tay đua lập trong lượt chạy đó. Cụ thể: Phân hạng -&gt; Heats -&gt; Pre-Final -&gt; Final</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Thể thức xuất phát: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Rolling Start cho mọi hạng xe 2 thì không hộp số</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Standing Start cho mọi hạng xe 4 thì và 2 thì có hộp số</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Với thể thức Rolling Start: Các tay đua phải giữ vị trí cho tới khi đèn hiệu xuất phát TẮT. Mọi vi phạm về vị trí sẽ bị phạt cộng 10 giây vào thành tích chung cuộc</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Mọi tay đua không tham gia vòng “formation lap” sẽ phải xuất phát từ đường pit và chỉ được rời vạch xuất phát tại đường pit khi xe cuối cùng của đoàn đua chạy qua khúc cua số 1. Hiệu lệnh xuất phát cho các tay đua này sexdo Pitlane Marshal quyết định.</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Quy định về lái xe an toàn và hành xử trong khi thi đấu</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Tuân thủ cờ hiệu: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Mọi tay đua phải tuân thủ cờ hiệu do Marshal chỉ thị</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Quy định lái xe an toàn: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Mọi tay đua phải tuân thủ việc lái xe an toàn. Mọi hành vi lái xe bất cẩn đều bị cấm. Mọi hành vi lái xe với chủ đích gây va chạm hoặc gây khó khăn cho các tay đua khác thực hiện hành vi lái xe an toàn sẽ bị áp dụng hình phạt do Ban Tổ chức quyết định.</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Quy định kỹ thuật của xe gokart</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Khung xe: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Khung xe phải là loại nguyên khối chế tạo hoàn toàn từ thép và được hàn từ các chi tiết theo tiêu chuẩn CIK-FIA (CIK Homologation)</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Bánh xe: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Mỗi xe phải có đủ 4 bánh tại bất kỳ thời điểm nào khi cuộc đua diễn ra</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Thân vỏ: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Thân vỏ xe phải tuân thủ tiêu chuẩn CIK-FIA. Thanh kim loại chống va chạm sau không được phảo sử dụng tại bất kỳ cuộc đua nào. Bộ giảm chấn va chạm sau phải theo tiêu chuẩn CIK-FIA.</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Động cơ: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Với giải đua 2 thì động cơ có dung tích không quá 125cc. Với giải đua 4 thì động cơ có dung tích không quá 225cc.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đặc thù nguồn cung cấp động cơ hiện nay tại Việt Nam, VMA quy định quy cách động cơ cho dòng động cơ Rotax như sau:</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 Main jet: không nhỏ hơn 160 đối với động cơ Non-EVO và không nhỏ hơn 130 với động cơ EVO.</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Bánh răng trước: 12</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Bánh răng sau: không nhỏ hơn 76</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A5FD7"/>
    <w:pPr>
      <w:ind w:left="720"/>
      <w:contextualSpacing w:val="1"/>
    </w:pPr>
  </w:style>
  <w:style w:type="paragraph" w:styleId="NormalWeb">
    <w:name w:val="Normal (Web)"/>
    <w:basedOn w:val="Normal"/>
    <w:uiPriority w:val="99"/>
    <w:semiHidden w:val="1"/>
    <w:unhideWhenUsed w:val="1"/>
    <w:rsid w:val="00707FAE"/>
    <w:pPr>
      <w:spacing w:after="100" w:afterAutospacing="1" w:before="100" w:beforeAutospacing="1" w:line="240" w:lineRule="auto"/>
    </w:pPr>
    <w:rPr>
      <w:rFonts w:ascii="Times New Roman" w:cs="Times New Roman" w:eastAsia="Times New Roman" w:hAnsi="Times New Roman"/>
      <w:sz w:val="24"/>
      <w:szCs w:val="24"/>
      <w:lang w:eastAsia="en-GB"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YWGLpEvj2aigZ9u9PGuQLEF8Q==">AMUW2mWkrZ81sbohY+WdgifxbNHoZClEavte5Rt4YYt+OMQ/K3MTdui8lZx31ihRdH3es15WPn1j+SuB6SgfHbFP0OOAq1M6DLyGw3FRXpTMWp2RpfMySoAXFr0DAY+DSqSgjI7J+5rQ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2020-11-04T06:00:00Z</dcterms:created>
  <dc:creator>Phạm Mạnh Lân (GRANDPRIX-KVH)</dc:creator>
</cp:coreProperties>
</file>