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center"/>
        <w:rPr>
          <w:rFonts w:ascii="Verdana" w:cs="Verdana" w:eastAsia="Verdana" w:hAnsi="Verdana"/>
          <w:b w:val="1"/>
          <w:color w:val="000000"/>
          <w:sz w:val="22"/>
          <w:szCs w:val="22"/>
          <w:u w:val="single"/>
        </w:rPr>
      </w:pPr>
      <w:bookmarkStart w:colFirst="0" w:colLast="0" w:name="_cbltrk4gsii8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u w:val="single"/>
          <w:rtl w:val="0"/>
        </w:rPr>
        <w:t xml:space="preserve">Documentação do Projeto: Análise de Clientes e Classificação de Atividade (Academia RedFit)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Arthur Trindade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4a8165vktqcu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1. Objetivo do Projeto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academia RedFit deseja conhecer melhor o perfil de seus clientes para direcionar campanhas de marketing de forma mais eficaz. O objetivo é desenvolver um modelo de Machine Learning capaz de classificar os usuários em diferentes níveis de atividade física: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Sedentário, Ativo ou Atleta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jkiciky7n08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="360" w:lineRule="auto"/>
        <w:ind w:firstLine="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l95008o96i8w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2. Processo de ETL (Extração, Transformação e Carga)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ETL é a base do nosso projeto, onde preparamos os dados brutos para que se tornem informações úteis para análise e modelagem.</w:t>
        <w:br w:type="textWrapping"/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2.1. Extração (Extraction)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primeira etapa consiste em carregar os dados do arquivo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academia_redfit.csv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o nosso ambiente de análise.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Código: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 = pd.read_csv("academia_redfit.csv")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Explicação: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Utilizamos a biblioteca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ler o arquivo CSV. Os dados são carregados para uma estrutura de tabela (DataFrame) que chamamos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permitindo a sua manipulação em Python.</w:t>
        <w:br w:type="textWrapping"/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2.2. Transformação (Transformation)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Nesta fase, realizamos a limpeza, padronização e enriquecimento dos dados.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Tratamento de Dados Vazios: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Identificamos que algumas colunas numéricas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tempo_medio_exercicio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etc.) possuíam valores em falta. Para resolver isso, preenchemos esses campos com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mediana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 coluna correspondente, garantindo que não tenhamos dados faltantes no modelo.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Padronização de Categorias: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Garantimos que o texto de colunas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sexo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tipo_atividade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estado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seguisse um padrão consistente (primeira letra maiúscula), para evitar que o modelo trate "Yoga" e "yoga" como atividades diferentes, por exemplo.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Conversão de Datas: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 coluna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data_matricula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foi convertida do formato de texto para o formato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datetime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Isso permite que o Python entenda que se trata de uma data, possibilitando cálculos futuros, como o tempo de permanência do cliente na academia.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Criação de Novas Métricas (Feature Engineering):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evolucao_PGC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Criamos esta coluna para medir o progresso do cliente, calculando a diferença entre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primeiro_PGC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ultimo_PGC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Um valor positivo indica uma redução de gordura corporal.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nivel_atividade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(Variável Alvo)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Como o objetivo é classificar os clientes em três níveis, criamos esta nova coluna com base em regras de negócio: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216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Clientes no estado "Sedentária" são classificados como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sedentários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216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Clientes que treinam 5 ou mais vezes por semana e possuem um PGC final abaixo de 15% são classificados como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Atleta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216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Os restantes são classificados como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ativos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Observação sobre o IMC: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 enunciado pedia o cálculo do IMC (Índice de Massa Corporal). No entanto, a fórmula requer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peso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altura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como a base de dados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não contém estas colunas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não foi possível criar esta métrica.</w:t>
        <w:br w:type="textWrapping"/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2.3. Carga (Load)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Após a transformação, guardamos o conjunto de dados tratado.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60" w:lineRule="auto"/>
        <w:ind w:left="216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Código: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df.to_csv("academia_redfit_tratado.csv", index=False)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60" w:lineRule="auto"/>
        <w:ind w:left="216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Explicação: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 DataFrame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agora limpo e com as novas colunas, é guardado num novo arquivo chamado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academia_redfit_tratado.csv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="360" w:lineRule="auto"/>
        <w:ind w:left="0" w:firstLine="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vv54sd7ek3gr" w:id="4"/>
      <w:bookmarkEnd w:id="4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3. Análise Exploratória e Visualização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Antes de construir o modelo, é fundamental explorar os dados para extrair insights.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Gráfico de Barras: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Geramos um gráfico de barras para visualizar a quantidade de clientes em cada um dos novos níveis de atividade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Sedentário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Ativo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Atleta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 Isso ajuda-nos a entender a proporção de cada perfil de cliente na academia.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Gráfico de Pizza: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Criamos um gráfico de pizza para mostrar a distribuição percentual de clientes por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sexo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Este tipo de gráfico é ideal para mostrar a composição de um todo.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="360" w:lineRule="auto"/>
        <w:ind w:left="0" w:firstLine="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8e70ke4n5fu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4. Construção do Modelo de Classificação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Esta é a fase onde utilizamos ML para criar um modelo preditivo.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Preparação e Pré-processamento: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Separamos os dados em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(as características que usamos para prever)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(o que queremos prever: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nivel_atividade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 Colunas que não são úteis para a previsão (como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data_matricula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são removidas.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Utilizamos um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ColumnTransformer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aplicar tratamentos diferentes a colunas diferentes: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216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StandardScaler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Padroniza as colunas numéricas.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216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OneHotEncoder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Converte colunas de texto em um formato numérico.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Divisão, Treino e Avaliação: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train_test_split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Dividimos os dados em 80% para treinar o modelo e 20% para o testar, garantindo uma avaliação justa.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Treino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.fit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Treinamos um modelo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RandomForestClassifier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que ele aprenda os padrões nos dados de treino.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Avaliação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accuracy_score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Medimos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acurácia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modelo, que representa a percentagem de previsões corretas nos dados de teste.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Guardar o Modelo Final: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Código: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joblib.dump(best_model, "redfit_model.pkl")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Explicação: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 modelo treinado é guardado num ficheiro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.pkl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Este ficheiro pode ser posteriormente carregado para classificar novos clientes sem a necessidade de treinar o modelo do zero.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