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8D4EEE" w14:textId="77777777">
      <w:pPr>
        <w:pStyle w:val="Heading1"/>
        <w:pBdr>
          <w:top w:val="nil"/>
          <w:left w:val="nil"/>
          <w:bottom w:val="nil"/>
          <w:right w:val="nil"/>
          <w:between w:val="nil"/>
        </w:pBdr>
        <w:jc w:val="center"/>
        <w:rPr>
          <w:color w:val="829EFF"/>
          <w:sz w:val="20"/>
          <w:szCs w:val="20"/>
        </w:rPr>
      </w:pPr>
    </w:p>
    <w:p w14:paraId="0619F55A" w14:textId="77777777"/>
    <w:p w14:paraId="2CE63EF6" w14:textId="77777777"/>
    <w:p w14:paraId="180A1EDD" w14:textId="77777777">
      <w:pPr>
        <w:pStyle w:val="Title"/>
      </w:pPr>
      <w:bookmarkStart w:id="0" w:name="_qzuc5iwubkm" w:colFirst="0" w:colLast="0"/>
      <w:bookmarkEnd w:id="0"/>
      <w:r>
        <w:t>ESTRATÉGIA LOTTI</w:t>
      </w:r>
    </w:p>
    <w:p w14:paraId="574EC04D" w14:textId="77777777">
      <w:pPr>
        <w:pStyle w:val="Heading1"/>
        <w:pBdr>
          <w:top w:val="nil"/>
          <w:left w:val="nil"/>
          <w:bottom w:val="nil"/>
          <w:right w:val="nil"/>
          <w:between w:val="nil"/>
        </w:pBdr>
        <w:jc w:val="center"/>
        <w:rPr>
          <w:color w:val="8A96DA"/>
        </w:rPr>
      </w:pPr>
      <w:r>
        <w:rPr>
          <w:color w:val="8A96DA"/>
        </w:rPr>
        <w:t>Lançamento: gateway, metas e distribuição em 90 dias</w:t>
      </w:r>
    </w:p>
    <w:p w14:paraId="033436C6" w14:textId="77777777"/>
    <w:p w14:paraId="0525F385" w14:textId="77777777">
      <w:pPr>
        <w:rPr>
          <w:rFonts w:ascii="Helvetica Neue" w:eastAsia="Helvetica Neue" w:hAnsi="Helvetica Neue" w:cs="Helvetica Neue"/>
        </w:rPr>
      </w:pPr>
    </w:p>
    <w:p w14:paraId="1BFBE187" w14:textId="77777777">
      <w:pPr>
        <w:rPr>
          <w:rFonts w:ascii="Helvetica Neue" w:eastAsia="Helvetica Neue" w:hAnsi="Helvetica Neue" w:cs="Helvetica Neue"/>
        </w:rPr>
      </w:pPr>
    </w:p>
    <w:p w14:paraId="2907C8F6" w14:textId="77777777">
      <w:pPr>
        <w:rPr>
          <w:rFonts w:ascii="Helvetica Neue" w:eastAsia="Helvetica Neue" w:hAnsi="Helvetica Neue" w:cs="Helvetica Neue"/>
        </w:rPr>
      </w:pPr>
    </w:p>
    <w:p w14:paraId="2AB55E29" w14:textId="77777777">
      <w:pPr>
        <w:rPr>
          <w:rFonts w:ascii="Helvetica Neue" w:eastAsia="Helvetica Neue" w:hAnsi="Helvetica Neue" w:cs="Helvetica Neue"/>
        </w:rPr>
      </w:pPr>
    </w:p>
    <w:p w14:paraId="0AEA07BD" w14:textId="77777777">
      <w:pPr>
        <w:rPr>
          <w:rFonts w:ascii="Helvetica Neue" w:eastAsia="Helvetica Neue" w:hAnsi="Helvetica Neue" w:cs="Helvetica Neue"/>
        </w:rPr>
      </w:pPr>
    </w:p>
    <w:p w14:paraId="4F37A404" w14:textId="77777777">
      <w:pPr>
        <w:rPr>
          <w:rFonts w:ascii="Helvetica Neue" w:eastAsia="Helvetica Neue" w:hAnsi="Helvetica Neue" w:cs="Helvetica Neue"/>
        </w:rPr>
      </w:pPr>
    </w:p>
    <w:p w14:paraId="249C1CCC" w14:textId="77777777">
      <w:pPr>
        <w:rPr>
          <w:rFonts w:ascii="Helvetica Neue" w:eastAsia="Helvetica Neue" w:hAnsi="Helvetica Neue" w:cs="Helvetica Neue"/>
        </w:rPr>
      </w:pPr>
    </w:p>
    <w:p w14:paraId="140994CE" w14:textId="77777777">
      <w:pPr>
        <w:rPr>
          <w:rFonts w:ascii="Helvetica Neue" w:eastAsia="Helvetica Neue" w:hAnsi="Helvetica Neue" w:cs="Helvetica Neue"/>
        </w:rPr>
      </w:pPr>
    </w:p>
    <w:p w14:paraId="4E9E5C61" w14:textId="77777777">
      <w:pPr>
        <w:rPr>
          <w:rFonts w:ascii="Helvetica Neue" w:eastAsia="Helvetica Neue" w:hAnsi="Helvetica Neue" w:cs="Helvetica Neue"/>
        </w:rPr>
      </w:pPr>
    </w:p>
    <w:p w14:paraId="2C4AE243" w14:textId="77777777">
      <w:pPr>
        <w:rPr>
          <w:rFonts w:ascii="Helvetica Neue" w:eastAsia="Helvetica Neue" w:hAnsi="Helvetica Neue" w:cs="Helvetica Neue"/>
        </w:rPr>
      </w:pPr>
    </w:p>
    <w:p w14:paraId="4FD6E2D4" w14:textId="77777777">
      <w:pPr>
        <w:rPr>
          <w:rFonts w:ascii="Helvetica Neue" w:eastAsia="Helvetica Neue" w:hAnsi="Helvetica Neue" w:cs="Helvetica Neue"/>
        </w:rPr>
      </w:pPr>
    </w:p>
    <w:p w14:paraId="01C8CB97" w14:textId="77777777">
      <w:pPr>
        <w:rPr>
          <w:rFonts w:ascii="Helvetica Neue" w:eastAsia="Helvetica Neue" w:hAnsi="Helvetica Neue" w:cs="Helvetica Neue"/>
        </w:rPr>
      </w:pPr>
    </w:p>
    <w:p w14:paraId="0F371AE7" w14:textId="77777777">
      <w:pPr>
        <w:rPr>
          <w:rFonts w:ascii="Helvetica Neue" w:eastAsia="Helvetica Neue" w:hAnsi="Helvetica Neue" w:cs="Helvetica Neue"/>
        </w:rPr>
      </w:pPr>
    </w:p>
    <w:p w14:paraId="500FC87E" w14:textId="77777777">
      <w:pPr>
        <w:rPr>
          <w:rFonts w:ascii="Helvetica Neue" w:eastAsia="Helvetica Neue" w:hAnsi="Helvetica Neue" w:cs="Helvetica Neue"/>
        </w:rPr>
      </w:pPr>
    </w:p>
    <w:p w14:paraId="088B5993" w14:textId="77777777">
      <w:pPr>
        <w:rPr>
          <w:rFonts w:ascii="Helvetica Neue" w:eastAsia="Helvetica Neue" w:hAnsi="Helvetica Neue" w:cs="Helvetica Neue"/>
        </w:rPr>
      </w:pPr>
    </w:p>
    <w:p w14:paraId="64F82109" w14:textId="77777777">
      <w:pPr>
        <w:rPr>
          <w:rFonts w:ascii="Helvetica Neue" w:eastAsia="Helvetica Neue" w:hAnsi="Helvetica Neue" w:cs="Helvetica Neue"/>
        </w:rPr>
      </w:pPr>
    </w:p>
    <w:p w14:paraId="1E183ECC" w14:textId="77777777">
      <w:pPr>
        <w:rPr>
          <w:rFonts w:ascii="Helvetica Neue" w:eastAsia="Helvetica Neue" w:hAnsi="Helvetica Neue" w:cs="Helvetica Neue"/>
        </w:rPr>
      </w:pPr>
    </w:p>
    <w:p w14:paraId="232DDA7F" w14:textId="77777777">
      <w:pPr>
        <w:rPr>
          <w:rFonts w:ascii="Helvetica Neue" w:eastAsia="Helvetica Neue" w:hAnsi="Helvetica Neue" w:cs="Helvetica Neue"/>
        </w:rPr>
      </w:pPr>
    </w:p>
    <w:p w14:paraId="3124116E" w14:textId="77777777">
      <w:pPr>
        <w:rPr>
          <w:rFonts w:ascii="Helvetica Neue" w:eastAsia="Helvetica Neue" w:hAnsi="Helvetica Neue" w:cs="Helvetica Neue"/>
        </w:rPr>
      </w:pPr>
    </w:p>
    <w:p w14:paraId="4FBD73E3" w14:textId="77777777">
      <w:pPr>
        <w:rPr>
          <w:rFonts w:ascii="Helvetica Neue" w:eastAsia="Helvetica Neue" w:hAnsi="Helvetica Neue" w:cs="Helvetica Neue"/>
        </w:rPr>
      </w:pPr>
    </w:p>
    <w:p w14:paraId="3213BDE2" w14:textId="77777777">
      <w:pPr>
        <w:rPr>
          <w:rFonts w:ascii="Helvetica Neue" w:eastAsia="Helvetica Neue" w:hAnsi="Helvetica Neue" w:cs="Helvetica Neue"/>
        </w:rPr>
      </w:pPr>
    </w:p>
    <w:p w14:paraId="3A684897" w14:textId="77777777">
      <w:pPr>
        <w:rPr>
          <w:rFonts w:ascii="Helvetica Neue" w:eastAsia="Helvetica Neue" w:hAnsi="Helvetica Neue" w:cs="Helvetica Neue"/>
        </w:rPr>
      </w:pPr>
    </w:p>
    <w:p w14:paraId="4DB59941" w14:textId="77777777">
      <w:pPr>
        <w:rPr>
          <w:rFonts w:ascii="Helvetica Neue" w:eastAsia="Helvetica Neue" w:hAnsi="Helvetica Neue" w:cs="Helvetica Neue"/>
        </w:rPr>
      </w:pPr>
    </w:p>
    <w:tbl>
      <w:tblPr>
        <w:tblStyle w:val="a"/>
        <w:tblW w:w="9360" w:type="dxa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2250"/>
        <w:gridCol w:w="7110"/>
      </w:tblGrid>
      <w:tr w14:paraId="12FAFF88" w14:textId="77777777">
        <w:trPr>
          <w:trHeight w:val="431"/>
        </w:trPr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4AC528A1" w14:textId="77777777">
            <w:pPr>
              <w:rPr>
                <w:rFonts w:ascii="Helvetica Neue" w:eastAsia="Helvetica Neue" w:hAnsi="Helvetica Neue" w:cs="Helvetica Neue"/>
                <w:b/>
                <w:bCs/>
                <w:color w:val="112075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112075"/>
                <w:sz w:val="20"/>
                <w:szCs w:val="20"/>
              </w:rPr>
              <w:t>Autor</w:t>
            </w:r>
          </w:p>
        </w:tc>
        <w:tc>
          <w:tcPr>
            <w:tcW w:w="71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08B49669" w14:textId="77777777">
            <w:pPr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Equipe Lotti</w:t>
            </w:r>
          </w:p>
        </w:tc>
      </w:tr>
      <w:tr w14:paraId="2103F82B" w14:textId="77777777">
        <w:trPr>
          <w:trHeight w:val="431"/>
        </w:trPr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4229BF86" w14:textId="77777777">
            <w:pPr>
              <w:rPr>
                <w:rFonts w:ascii="Helvetica Neue" w:eastAsia="Helvetica Neue" w:hAnsi="Helvetica Neue" w:cs="Helvetica Neue"/>
                <w:color w:val="112075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112075"/>
                <w:sz w:val="20"/>
                <w:szCs w:val="20"/>
              </w:rPr>
              <w:t>Equipe</w:t>
            </w:r>
          </w:p>
        </w:tc>
        <w:tc>
          <w:tcPr>
            <w:tcW w:w="71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56A55D95" w14:textId="77777777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Estratégia e Produto</w:t>
            </w:r>
          </w:p>
        </w:tc>
      </w:tr>
      <w:tr w14:paraId="775FD1AF" w14:textId="77777777">
        <w:trPr>
          <w:trHeight w:val="431"/>
        </w:trPr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305457B3" w14:textId="77777777">
            <w:pPr>
              <w:rPr>
                <w:rFonts w:ascii="Helvetica Neue" w:eastAsia="Helvetica Neue" w:hAnsi="Helvetica Neue" w:cs="Helvetica Neue"/>
                <w:color w:val="112075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112075"/>
                <w:sz w:val="20"/>
                <w:szCs w:val="20"/>
              </w:rPr>
              <w:t>Preparado para</w:t>
            </w:r>
          </w:p>
        </w:tc>
        <w:tc>
          <w:tcPr>
            <w:tcW w:w="71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2EB52BD8" w14:textId="77777777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Fundadores e colaboradores da Lotti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/>
            </w: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/>
            </w:r>
          </w:p>
        </w:tc>
      </w:tr>
      <w:tr w14:paraId="3E0688CF" w14:textId="77777777">
        <w:trPr>
          <w:trHeight w:val="431"/>
        </w:trPr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31FC2D12" w14:textId="77777777">
            <w:pPr>
              <w:rPr>
                <w:rFonts w:ascii="Helvetica Neue" w:eastAsia="Helvetica Neue" w:hAnsi="Helvetica Neue" w:cs="Helvetica Neue"/>
                <w:color w:val="112075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112075"/>
                <w:sz w:val="20"/>
                <w:szCs w:val="20"/>
              </w:rPr>
              <w:t xml:space="preserve">Data</w:t>
            </w:r>
          </w:p>
        </w:tc>
        <w:tc>
          <w:tcPr>
            <w:tcW w:w="71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3259E72D" w14:textId="77777777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13 de agosto de 2026</w:t>
            </w:r>
          </w:p>
        </w:tc>
      </w:tr>
      <w:tr w14:paraId="7AB6CABE" w14:textId="77777777">
        <w:trPr>
          <w:trHeight w:val="431"/>
        </w:trPr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1BBB306A" w14:textId="77777777">
            <w:pPr>
              <w:rPr>
                <w:rFonts w:ascii="Helvetica Neue" w:eastAsia="Helvetica Neue" w:hAnsi="Helvetica Neue" w:cs="Helvetica Neue"/>
                <w:color w:val="112075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112075"/>
                <w:sz w:val="20"/>
                <w:szCs w:val="20"/>
              </w:rPr>
              <w:t>Status</w:t>
            </w:r>
          </w:p>
        </w:tc>
        <w:tc>
          <w:tcPr>
            <w:tcW w:w="71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773D035C" w14:textId="77777777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Final - uso interno</w:t>
            </w:r>
          </w:p>
        </w:tc>
      </w:tr>
    </w:tbl>
    <w:p w14:paraId="518CD1A2" w14:textId="77777777">
      <w:pPr>
        <w:rPr>
          <w:rFonts w:ascii="Helvetica Neue" w:eastAsia="Helvetica Neue" w:hAnsi="Helvetica Neue" w:cs="Helvetica Neue"/>
        </w:rPr>
      </w:pPr>
    </w:p>
    <w:p w14:paraId="2253225F" w14:textId="4EF277DE">
      <w:pPr>
        <w:pStyle w:val="Heading1"/>
      </w:pPr>
      <w:r>
        <w:lastRenderedPageBreak/>
        <w:t>1. Propósito e recomendação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Este memorando transforma o primeiro lançamento da Lotti em uma operação mensurável: cobrar com segurança, ativar uma coorte pequena e provar distribuição antes de investir em mídia. A decisão prioritária é reduzir risco de prazo e caixa sem limitar a troca futura de fornecedor.</w:t>
      </w:r>
      <w:proofErr w:type="gramStart"/>
      <w:r>
        <w:rPr>
          <w:rFonts w:ascii="Helvetica Neue" w:eastAsia="Helvetica Neue" w:hAnsi="Helvetica Neue" w:cs="Helvetica Neue"/>
        </w:rPr>
        <w:t/>
      </w:r>
      <w:proofErr w:type="gram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/>
      </w:r>
    </w:p>
    <w:p w14:paraId="2A1F23AC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Recomendação: adotar Asaas em uma conta exclusiva do SaaS, com checkout hospedado e cartão como padrão. O mês 1 deve terminar com 5 contas pagantes e 10 pilotos ativos; a aquisição virá da rede do fundador, ligações, indicações e Instagram, sem anúncios pagos.</w:t>
      </w:r>
      <w:proofErr w:type="gramStart"/>
      <w:r>
        <w:rPr>
          <w:rFonts w:ascii="Helvetica Neue" w:eastAsia="Helvetica Neue" w:hAnsi="Helvetica Neue" w:cs="Helvetica Neue"/>
        </w:rPr>
        <w:t/>
      </w:r>
      <w:proofErr w:type="gram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/>
      </w:r>
    </w:p>
    <w:p w14:paraId="07A84006" w14:textId="77777777">
      <w:pPr>
        <w:rPr>
          <w:rFonts w:ascii="Helvetica Neue" w:eastAsia="Helvetica Neue" w:hAnsi="Helvetica Neue" w:cs="Helvetica Neue"/>
        </w:rPr>
      </w:pPr>
    </w:p>
    <w:p w14:paraId="5CACE50B" w14:textId="77777777">
      <w:pPr>
        <w:pStyle w:val="Heading2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Decisão em uma página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2200"/>
        <w:gridCol w:w="1760"/>
        <w:gridCol w:w="1800"/>
        <w:gridCol w:w="2000"/>
      </w:tblGrid>
      <w:tr w14:paraId="35733155" w14:textId="77777777"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DBC00B" w14:textId="77777777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FFFFFF"/>
                <w:sz w:val="20"/>
                <w:szCs w:val="20"/>
              </w:rPr>
              <w:t>Gateway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635929" w14:textId="77777777">
            <w:pPr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FFFFFF"/>
                <w:sz w:val="20"/>
                <w:szCs w:val="20"/>
              </w:rPr>
              <w:t>Tempo para valor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605AC6" w14:textId="77777777">
            <w:pPr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FFFFFF"/>
                <w:sz w:val="20"/>
                <w:szCs w:val="20"/>
              </w:rPr>
              <w:t>Risco de execução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8758D1" w14:textId="77777777">
            <w:pPr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FFFFFF"/>
                <w:sz w:val="20"/>
                <w:szCs w:val="20"/>
              </w:rPr>
              <w:t>Aderência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6F935" w14:textId="77777777">
            <w:pPr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FFFFFF"/>
                <w:sz w:val="20"/>
                <w:szCs w:val="20"/>
              </w:rPr>
              <w:t>Recomendação</w:t>
            </w:r>
          </w:p>
        </w:tc>
      </w:tr>
      <w:tr w14:paraId="3DA7EC29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3863DF" w14:textId="77777777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Asaas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5C1B42" w14:textId="77777777">
            <w:pPr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2-4 semanas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8E841F" w14:textId="77777777">
            <w:pPr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Baixo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6F8E99" w14:textId="77777777">
            <w:pPr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Alto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BE6EA7" w14:textId="77777777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Adotar agora</w:t>
            </w:r>
          </w:p>
        </w:tc>
      </w:tr>
      <w:tr w14:paraId="0B778795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1BC585" w14:textId="77777777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Stripe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757D59" w14:textId="77777777">
            <w:pPr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4-8 semanas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5686BD" w14:textId="77777777">
            <w:pPr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Médio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7BDE79" w14:textId="77777777">
            <w:pPr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Médio/alto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128B51" w14:textId="77777777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Reavaliar no exterior</w:t>
            </w:r>
          </w:p>
        </w:tc>
      </w:tr>
      <w:tr w14:paraId="3806C236" w14:textId="77777777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991ADA" w14:textId="77777777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Vindi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A7C7C2" w14:textId="77777777">
            <w:pPr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4-8 sem. + contrato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A7178B" w14:textId="77777777">
            <w:pPr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Médio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3F26F0" w14:textId="77777777">
            <w:pPr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Médio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C566D5" w14:textId="77777777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Negociar em escala</w:t>
            </w:r>
          </w:p>
        </w:tc>
      </w:tr>
    </w:tbl>
    <w:p w14:paraId="7655715F" w14:textId="77777777">
      <w:pPr>
        <w:spacing w:before="60" w:after="20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i/>
          <w:iCs/>
          <w:color w:val="595959"/>
          <w:sz w:val="18"/>
          <w:szCs w:val="18"/>
        </w:rPr>
        <w:t>Tabela 1. Comparação executiva das opções de gateway.</w:t>
      </w:r>
    </w:p>
    <w:p w14:paraId="46EB4EF5" w14:textId="77777777">
      <w:pPr>
        <w:pStyle w:val="Heading1"/>
      </w:pPr>
      <w:r>
        <w:t>2. Contexto estratégico</w:t>
      </w:r>
    </w:p>
    <w:p w14:paraId="4C40FA2D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A Lotti já conhece a API do Asaas na cobrança de aluguéis, mas o billing do próprio SaaS ainda usa um provider mock e não está exposto nas rotas principais. O fundador dispõe de 17 contatos diretos e opera com caixa restrito. Logo, velocidade, custo total e aprendizagem valem mais que uma infraestrutura sofisticada antes da primeira receita.</w:t>
      </w:r>
      <w:proofErr w:type="gramStart"/>
      <w:r>
        <w:rPr>
          <w:rFonts w:ascii="Helvetica Neue" w:eastAsia="Helvetica Neue" w:hAnsi="Helvetica Neue" w:cs="Helvetica Neue"/>
        </w:rPr>
        <w:t/>
      </w:r>
      <w:proofErr w:type="gram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</w:p>
    <w:p w14:paraId="73CA5CC6" w14:textId="77777777">
      <w:pPr>
        <w:pStyle w:val="Heading2"/>
      </w:pPr>
      <w:r>
        <w:t>2.1 A oportunidade do mês 1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0"/>
        <w:gridCol w:w="1720"/>
        <w:gridCol w:w="1720"/>
        <w:gridCol w:w="1720"/>
      </w:tblGrid>
      <w:tr w14:paraId="76270B64" w14:textId="77777777">
        <w:trPr>
          <w:tblHeader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55FC42" w14:textId="77777777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1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BB5235" w14:textId="77777777">
            <w:pPr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FFFFFF"/>
                <w:sz w:val="20"/>
                <w:szCs w:val="20"/>
              </w:rPr>
              <w:t>Base</w:t>
            </w:r>
          </w:p>
        </w:tc>
        <w:tc>
          <w:tcPr>
            <w:tcW w:w="1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4D9A1D" w14:textId="77777777">
            <w:pPr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FFFFFF"/>
                <w:sz w:val="20"/>
                <w:szCs w:val="20"/>
              </w:rPr>
              <w:t>Meta D30</w:t>
            </w:r>
          </w:p>
        </w:tc>
        <w:tc>
          <w:tcPr>
            <w:tcW w:w="1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1E22BA" w14:textId="77777777">
            <w:pPr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FFFFFF"/>
                <w:sz w:val="20"/>
                <w:szCs w:val="20"/>
              </w:rPr>
              <w:t>Variação</w:t>
            </w:r>
          </w:p>
        </w:tc>
      </w:tr>
      <w:tr w14:paraId="0CB6626E" w14:textId="77777777"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ECE2A7" w14:textId="77777777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Prospects trabalhados</w:t>
            </w:r>
          </w:p>
        </w:tc>
        <w:tc>
          <w:tcPr>
            <w:tcW w:w="1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C00D16" w14:textId="77777777">
            <w:pPr>
              <w:jc w:val="right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C2FED4" w14:textId="77777777">
            <w:pPr>
              <w:jc w:val="right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50</w:t>
            </w:r>
          </w:p>
        </w:tc>
        <w:tc>
          <w:tcPr>
            <w:tcW w:w="1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B6CBD3" w14:textId="77777777">
            <w:pPr>
              <w:jc w:val="right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+33</w:t>
            </w:r>
          </w:p>
        </w:tc>
      </w:tr>
      <w:tr w14:paraId="35559E0B" w14:textId="77777777"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EAC457" w14:textId="77777777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Contas pagantes</w:t>
            </w:r>
          </w:p>
        </w:tc>
        <w:tc>
          <w:tcPr>
            <w:tcW w:w="1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7B2828" w14:textId="77777777">
            <w:pPr>
              <w:jc w:val="right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0</w:t>
            </w:r>
          </w:p>
        </w:tc>
        <w:tc>
          <w:tcPr>
            <w:tcW w:w="1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C0453E" w14:textId="77777777">
            <w:pPr>
              <w:jc w:val="right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5</w:t>
            </w:r>
          </w:p>
        </w:tc>
        <w:tc>
          <w:tcPr>
            <w:tcW w:w="1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2D5D00" w14:textId="77777777">
            <w:pPr>
              <w:jc w:val="right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+5</w:t>
            </w:r>
          </w:p>
        </w:tc>
      </w:tr>
      <w:tr w14:paraId="4CCAE009" w14:textId="77777777"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9CEC0E" w14:textId="77777777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Pilotos ativos</w:t>
            </w:r>
          </w:p>
        </w:tc>
        <w:tc>
          <w:tcPr>
            <w:tcW w:w="1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18A9AF" w14:textId="77777777">
            <w:pPr>
              <w:jc w:val="right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0</w:t>
            </w:r>
          </w:p>
        </w:tc>
        <w:tc>
          <w:tcPr>
            <w:tcW w:w="1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3254D3" w14:textId="77777777">
            <w:pPr>
              <w:jc w:val="right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ECE99C" w14:textId="77777777">
            <w:pPr>
              <w:jc w:val="right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+10</w:t>
            </w:r>
          </w:p>
        </w:tc>
      </w:tr>
      <w:tr w14:paraId="1A26E9A1" w14:textId="77777777"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01955C" w14:textId="77777777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MRR após desconto</w:t>
            </w:r>
          </w:p>
        </w:tc>
        <w:tc>
          <w:tcPr>
            <w:tcW w:w="1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CBA6F7" w14:textId="77777777">
            <w:pPr>
              <w:jc w:val="right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R$0</w:t>
            </w:r>
          </w:p>
        </w:tc>
        <w:tc>
          <w:tcPr>
            <w:tcW w:w="1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D12294" w14:textId="77777777">
            <w:pPr>
              <w:jc w:val="right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R$700-900</w:t>
            </w:r>
          </w:p>
        </w:tc>
        <w:tc>
          <w:tcPr>
            <w:tcW w:w="1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28613C" w14:textId="77777777">
            <w:pPr>
              <w:jc w:val="right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+R$700-900</w:t>
            </w:r>
          </w:p>
        </w:tc>
      </w:tr>
    </w:tbl>
    <w:p w14:paraId="61DD8D1E" w14:textId="77777777">
      <w:pPr>
        <w:spacing w:before="60" w:after="20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i/>
          <w:iCs/>
          <w:color w:val="595959"/>
          <w:sz w:val="18"/>
          <w:szCs w:val="18"/>
        </w:rPr>
        <w:t>Tabela 2. Metas de saída da primeira coorte.</w:t>
      </w:r>
    </w:p>
    <w:p w14:paraId="2D3A6817" w14:textId="77777777">
      <w:pPr>
        <w:pStyle w:val="Heading1"/>
      </w:pPr>
    </w:p>
    <w:p w14:paraId="0B7BAA9E" w14:textId="1D1E4499">
      <w:pPr>
        <w:pStyle w:val="Heading1"/>
      </w:pPr>
      <w:r>
        <w:lastRenderedPageBreak/>
        <w:t>3. Análise das opções</w:t>
      </w:r>
    </w:p>
    <w:p w14:paraId="224D2666" w14:textId="77777777">
      <w:pPr>
        <w:pStyle w:val="Heading2"/>
      </w:pPr>
      <w:r>
        <w:t>3.1 Asaas - recomendado</w:t>
      </w:r>
    </w:p>
    <w:p w14:paraId="04C6D6F9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Sem mensalidade e com taxa pública de 2,99% + R$0,49 no cartão, o Asaas oferece o menor custo total no lançamento. O checkout recorrente hospedado reduz exposição a dados sensíveis; Pix, boleto e Pix Automático cobrem as alternativas locais. O principal trabalho restante é o dunning.</w:t>
      </w:r>
      <w:proofErr w:type="gramStart"/>
      <w:r>
        <w:rPr>
          <w:rFonts w:ascii="Helvetica Neue" w:eastAsia="Helvetica Neue" w:hAnsi="Helvetica Neue" w:cs="Helvetica Neue"/>
        </w:rPr>
        <w:t/>
      </w:r>
      <w:proofErr w:type="gram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</w:p>
    <w:p w14:paraId="5B31BF9C" w14:textId="77777777">
      <w:pPr>
        <w:pStyle w:val="Heading2"/>
      </w:pPr>
      <w:r>
        <w:t>3.2 Stripe - alternativa futura</w:t>
      </w:r>
    </w:p>
    <w:p w14:paraId="1E90A382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Stripe possui Billing, portal e recuperação de receita superiores, mas soma 3,99% + R$0,39 do Payments a 0,7% do Billing. Também exige uma integração nova e oferece Pix somente por convite. Faz sentido quando houver expansão internacional ou complexidade real de monetização.</w:t>
      </w:r>
      <w:proofErr w:type="gramStart"/>
      <w:r>
        <w:rPr>
          <w:rFonts w:ascii="Helvetica Neue" w:eastAsia="Helvetica Neue" w:hAnsi="Helvetica Neue" w:cs="Helvetica Neue"/>
        </w:rPr>
        <w:t/>
      </w:r>
      <w:proofErr w:type="gram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/>
      </w:r>
    </w:p>
    <w:p w14:paraId="2DDD71EB" w14:textId="77777777">
      <w:pPr>
        <w:pStyle w:val="Heading2"/>
      </w:pPr>
      <w:r>
        <w:t>3.3 Vindi - negociar em escala</w:t>
      </w:r>
    </w:p>
    <w:p w14:paraId="236806FC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A taxa pública parte de 2,75% + R$0,39, porém a recorrência começa em R$299 por mês. No ticket de referência, a economia transacional só compensa o fixo perto de 500 a 600 cobranças mensais, e ainda depende de proposta comercial.</w:t>
      </w:r>
      <w:proofErr w:type="gramStart"/>
      <w:r>
        <w:rPr>
          <w:rFonts w:ascii="Helvetica Neue" w:eastAsia="Helvetica Neue" w:hAnsi="Helvetica Neue" w:cs="Helvetica Neue"/>
        </w:rPr>
        <w:t/>
      </w:r>
      <w:proofErr w:type="gram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</w:p>
    <w:p w14:paraId="68E0B761" w14:textId="77777777">
      <w:pPr>
        <w:pStyle w:val="Heading2"/>
      </w:pPr>
      <w:r>
        <w:t>3.4 Matriz de decisão ponderada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2000"/>
        <w:gridCol w:w="2000"/>
        <w:gridCol w:w="2000"/>
      </w:tblGrid>
      <w:tr w14:paraId="68772BA3" w14:textId="77777777">
        <w:trPr>
          <w:tblHeader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E7E92C" w14:textId="77777777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FFFFFF"/>
                <w:sz w:val="20"/>
                <w:szCs w:val="20"/>
              </w:rPr>
              <w:t>Critério (peso)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E8E3CC" w14:textId="77777777">
            <w:pPr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FFFFFF"/>
                <w:sz w:val="20"/>
                <w:szCs w:val="20"/>
              </w:rPr>
              <w:t>Asaas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77E665" w14:textId="77777777">
            <w:pPr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FFFFFF"/>
                <w:sz w:val="20"/>
                <w:szCs w:val="20"/>
              </w:rPr>
              <w:t>Stripe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CE9000" w14:textId="77777777">
            <w:pPr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FFFFFF"/>
                <w:sz w:val="20"/>
                <w:szCs w:val="20"/>
              </w:rPr>
              <w:t>Vindi</w:t>
            </w:r>
          </w:p>
        </w:tc>
      </w:tr>
      <w:tr w14:paraId="671FDACD" w14:textId="77777777"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D1EBAD" w14:textId="77777777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Custo em 0-100 contas (30%)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4B0F10" w14:textId="77777777">
            <w:pPr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8D89AA" w14:textId="77777777">
            <w:pPr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E72915" w14:textId="77777777">
            <w:pPr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2</w:t>
            </w:r>
          </w:p>
        </w:tc>
      </w:tr>
      <w:tr w14:paraId="07B2E12C" w14:textId="77777777"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19D1F3" w14:textId="77777777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Velocidade de lançamento (25%)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982B33" w14:textId="77777777">
            <w:pPr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BE07CA" w14:textId="77777777">
            <w:pPr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3D9611" w14:textId="77777777">
            <w:pPr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2</w:t>
            </w:r>
          </w:p>
        </w:tc>
      </w:tr>
      <w:tr w14:paraId="0B3C7828" w14:textId="77777777"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750409" w14:textId="77777777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Meios locais (20%)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28D02B" w14:textId="77777777">
            <w:pPr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C6E80C" w14:textId="77777777">
            <w:pPr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C0F9D0" w14:textId="77777777">
            <w:pPr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5</w:t>
            </w:r>
          </w:p>
        </w:tc>
      </w:tr>
      <w:tr w14:paraId="0B43132C" w14:textId="77777777"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DA56F9" w14:textId="77777777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Recorrência e dunning (15%)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474A07" w14:textId="77777777">
            <w:pPr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EFB188" w14:textId="77777777">
            <w:pPr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7A70B9" w14:textId="77777777">
            <w:pPr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5</w:t>
            </w:r>
          </w:p>
        </w:tc>
      </w:tr>
      <w:tr w14:paraId="16C4D5E7" w14:textId="77777777"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4327AC" w14:textId="77777777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Flexibilidade futura (10%)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55BD29" w14:textId="77777777">
            <w:pPr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46B945" w14:textId="77777777">
            <w:pPr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3E4AB4" w14:textId="77777777">
            <w:pPr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4</w:t>
            </w:r>
          </w:p>
        </w:tc>
      </w:tr>
      <w:tr w14:paraId="5DD303D5" w14:textId="77777777"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4EB1B9" w14:textId="77777777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Pontuação ponderada (de 5)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04BF88" w14:textId="77777777">
            <w:pPr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4,60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347629" w14:textId="77777777">
            <w:pPr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3,50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A5CDBF" w14:textId="77777777">
            <w:pPr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3,25</w:t>
            </w:r>
          </w:p>
        </w:tc>
      </w:tr>
    </w:tbl>
    <w:p w14:paraId="0346EE5B" w14:textId="77777777">
      <w:pPr>
        <w:spacing w:before="60" w:after="20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i/>
          <w:iCs/>
          <w:color w:val="595959"/>
          <w:sz w:val="18"/>
          <w:szCs w:val="18"/>
        </w:rPr>
        <w:t>Tabela 3. Matriz ponderada (1 = baixo; 5 = alto).</w:t>
      </w:r>
    </w:p>
    <w:p w14:paraId="5332C2B8" w14:textId="77777777">
      <w:pPr>
        <w:spacing w:before="120" w:after="40"/>
        <w:jc w:val="center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noProof/>
        </w:rPr>
        <w:drawing>
          <wp:inline distT="0" distB="0" distL="0" distR="0" wp14:anchorId="08675D86" wp14:editId="007BA35E">
            <wp:extent cx="4526280" cy="2095500"/>
            <wp:effectExtent l="0" t="0" r="0" b="0"/>
            <wp:docPr id="1" name="image2.png" descr="[Insert chart: weighted option scores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[Insert chart: weighted option scores]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64E662" w14:textId="77777777">
      <w:pPr>
        <w:spacing w:after="200"/>
        <w:jc w:val="center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i/>
          <w:iCs/>
          <w:color w:val="595959"/>
          <w:sz w:val="18"/>
          <w:szCs w:val="18"/>
        </w:rPr>
        <w:lastRenderedPageBreak/>
        <w:t>Figura 1. Pontuação ponderada dos gateways.</w:t>
      </w:r>
    </w:p>
    <w:p w14:paraId="02E730C5" w14:textId="77777777">
      <w:pPr>
        <w:spacing w:before="120" w:after="40"/>
        <w:jc w:val="center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noProof/>
        </w:rPr>
        <w:drawing>
          <wp:inline distT="0" distB="0" distL="0" distR="0" wp14:anchorId="2236FDC7" wp14:editId="32B290B7">
            <wp:extent cx="4095750" cy="4133850"/>
            <wp:effectExtent l="0" t="0" r="0" b="0"/>
            <wp:docPr id="2" name="image1.png" descr="[Insert figure: option profile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[Insert figure: option profile]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133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46B002" w14:textId="77777777">
      <w:pPr>
        <w:spacing w:after="200"/>
        <w:jc w:val="center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i/>
          <w:iCs/>
          <w:color w:val="595959"/>
          <w:sz w:val="18"/>
          <w:szCs w:val="18"/>
        </w:rPr>
        <w:t>Figura 2. Funil operacional proposto para o mês 1.</w:t>
      </w:r>
    </w:p>
    <w:p w14:paraId="04DB30A6" w14:textId="77777777">
      <w:pPr>
        <w:rPr>
          <w:rFonts w:ascii="Helvetica Neue" w:eastAsia="Helvetica Neue" w:hAnsi="Helvetica Neue" w:cs="Helvetica Neue"/>
        </w:rPr>
      </w:pPr>
      <w:r>
        <w:br w:type="page"/>
      </w:r>
    </w:p>
    <w:p w14:paraId="67E5F458" w14:textId="77777777">
      <w:pPr>
        <w:pStyle w:val="Heading1"/>
      </w:pPr>
      <w:r>
        <w:lastRenderedPageBreak/>
        <w:t>4. Caminho recomendado e condições</w:t>
      </w:r>
    </w:p>
    <w:p w14:paraId="7BDBBBF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O fluxo principal deve usar checkout recorrente do Asaas restrito a cartão, em conta e credenciais separadas das cobranças de aluguel. A Lotti guarda somente IDs e estados; PAN e CVV nunca entram no banco, logs ou analytics. Boleto será fallback manual e Pix Automático entra após estabilizar o cartão.</w:t>
      </w:r>
      <w:proofErr w:type="gramStart"/>
      <w:r>
        <w:rPr>
          <w:rFonts w:ascii="Helvetica Neue" w:eastAsia="Helvetica Neue" w:hAnsi="Helvetica Neue" w:cs="Helvetica Neue"/>
        </w:rPr>
        <w:t/>
      </w:r>
      <w:proofErr w:type="gram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/>
      </w:r>
    </w:p>
    <w:p w14:paraId="37C6F76E" w14:textId="77777777">
      <w:pPr>
        <w:pStyle w:val="Heading2"/>
      </w:pPr>
      <w:r>
        <w:t>4.1 Condições e gatilhos</w:t>
      </w:r>
    </w:p>
    <w:p w14:paraId="670F04CF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color w:val="000000"/>
        </w:rPr>
        <w:t>Segurança - webhooks autenticados e idempotentes, conciliação e trilha de auditoria.</w:t>
      </w:r>
    </w:p>
    <w:p w14:paraId="46386ED6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color w:val="000000"/>
        </w:rPr>
        <w:t>Piloto - 30 dias grátis, cartão validado na entrada e avisos nos dias 23 e 28.</w:t>
      </w:r>
    </w:p>
    <w:p w14:paraId="7E00E852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color w:val="000000"/>
        </w:rPr>
        <w:t>Escala - sem mídia paga antes de 60% de ativação e 30% de conversão piloto-pago.</w:t>
      </w:r>
    </w:p>
    <w:p w14:paraId="03DD972A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color w:val="000000"/>
        </w:rPr>
        <w:t>Flexibilidade - manter PaymentProvider e reavaliar o gateway entre 500 e 600 cobranças mensais.</w:t>
      </w:r>
    </w:p>
    <w:p w14:paraId="66FCE605" w14:textId="77777777">
      <w:pPr>
        <w:pStyle w:val="Heading2"/>
      </w:pPr>
      <w:r>
        <w:t>4.2 Riscos</w:t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00"/>
        <w:gridCol w:w="1960"/>
        <w:gridCol w:w="4000"/>
      </w:tblGrid>
      <w:tr w14:paraId="64E6ADB2" w14:textId="77777777">
        <w:trPr>
          <w:tblHeader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113DC3" w14:textId="77777777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FFFFFF"/>
                <w:sz w:val="20"/>
                <w:szCs w:val="20"/>
              </w:rPr>
              <w:t>Risco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7B238E" w14:textId="77777777">
            <w:pPr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FFFFFF"/>
                <w:sz w:val="20"/>
                <w:szCs w:val="20"/>
              </w:rPr>
              <w:t>Probabilidade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0FBD87" w14:textId="77777777">
            <w:pPr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FFFFFF"/>
                <w:sz w:val="20"/>
                <w:szCs w:val="20"/>
              </w:rPr>
              <w:t>Mitigação</w:t>
            </w:r>
          </w:p>
        </w:tc>
      </w:tr>
      <w:tr w14:paraId="1CA5960B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A274B6" w14:textId="77777777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Comissão vitalícia reduz contribuição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6424EF" w14:textId="77777777">
            <w:pPr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E9D537" w14:textId="77777777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Limitar a 20 indicados e revisar novas entradas em 90 dias.</w:t>
            </w:r>
          </w:p>
        </w:tc>
      </w:tr>
      <w:tr w14:paraId="63508A0D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79EF87" w14:textId="77777777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Pilotos sem uso inflam a meta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E6C51E" w14:textId="77777777">
            <w:pPr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Média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24D6C8" w14:textId="77777777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Exigir cartão, onboarding e evento real de ativação.</w:t>
            </w:r>
          </w:p>
        </w:tc>
      </w:tr>
      <w:tr w14:paraId="1C9505A6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CCF4EF" w14:textId="77777777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Falha ou recusa do cartão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DD30FF" w14:textId="77777777">
            <w:pPr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Média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AD54A5" w14:textId="77777777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Webhook, link de atualização e tolerância de 7 dias.</w:t>
            </w:r>
          </w:p>
        </w:tc>
      </w:tr>
      <w:tr w14:paraId="4B9299AF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0684A1" w14:textId="77777777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Fundador vira gargalo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1AC75D" w14:textId="77777777">
            <w:pPr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Alta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5F2170" w14:textId="77777777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t>Cadência diária, pipeline único e revisão semanal.</w:t>
            </w:r>
          </w:p>
        </w:tc>
      </w:tr>
    </w:tbl>
    <w:p w14:paraId="521E99CD" w14:textId="77777777">
      <w:pPr>
        <w:spacing w:before="60" w:after="20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i/>
          <w:iCs/>
          <w:color w:val="595959"/>
          <w:sz w:val="18"/>
          <w:szCs w:val="18"/>
        </w:rPr>
        <w:t>Tabela 4. Riscos principais e controles de lançamento.</w:t>
      </w:r>
    </w:p>
    <w:p w14:paraId="7AFF3565" w14:textId="77777777">
      <w:pPr>
        <w:pStyle w:val="Heading1"/>
      </w:pPr>
      <w:r>
        <w:t>5. Próximos passos</w:t>
      </w:r>
    </w:p>
    <w:p w14:paraId="2BB0616C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color w:val="000000"/>
        </w:rPr>
        <w:t>Fundador comercial - ligar para os 17 contatos, fazer 8 a 10 conversas e fechar 2 contas - semana 1.</w:t>
      </w:r>
    </w:p>
    <w:p w14:paraId="28963E22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color w:val="000000"/>
        </w:rPr>
        <w:t>Fundador comercial - obter 20 apresentações quentes, abrir pilotos e fechar mais 2 contas - semana 2.</w:t>
      </w:r>
    </w:p>
    <w:p w14:paraId="26DA6649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color w:val="000000"/>
        </w:rPr>
        <w:t>Produto e marketing - demonstração coletiva, prospecção segmentada e quinto fechamento - semana 3.</w:t>
      </w:r>
    </w:p>
    <w:p w14:paraId="2392C062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color w:val="000000"/>
        </w:rPr>
        <w:t>Produto e CS - ativar pilotos, coletar prova social e preparar conversões - semana 4.</w:t>
      </w:r>
    </w:p>
    <w:p w14:paraId="4FEB3C7A" w14:textId="77777777">
      <w:pPr>
        <w:rPr>
          <w:rFonts w:ascii="Helvetica Neue" w:eastAsia="Helvetica Neue" w:hAnsi="Helvetica Neue" w:cs="Helvetica Neue"/>
        </w:rPr>
      </w:pPr>
      <w:r>
        <w:br w:type="page"/>
      </w:r>
    </w:p>
    <w:p w14:paraId="0E7BFC19" w14:textId="77777777">
      <w:pPr>
        <w:pStyle w:val="Heading1"/>
      </w:pPr>
      <w:r>
        <w:lastRenderedPageBreak/>
        <w:t>6. Implicações financeiras e estratégicas</w:t>
      </w:r>
    </w:p>
    <w:p w14:paraId="45831483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Com ARPA de referência de R$208, uma cobrança custa cerca de R$6,71 no Asaas, R$10,15 na Stripe com Billing e R$6,11 na Vindi antes da mensalidade de R$299. Em 10 cobranças, os custos ilustrativos são aproximadamente R$67, R$102 e R$360. Taxas finais dependem do contrato de cada fornecedor.</w:t>
      </w:r>
      <w:proofErr w:type="gramStart"/>
      <w:r>
        <w:rPr>
          <w:rFonts w:ascii="Helvetica Neue" w:eastAsia="Helvetica Neue" w:hAnsi="Helvetica Neue" w:cs="Helvetica Neue"/>
        </w:rPr>
        <w:t/>
      </w:r>
      <w:proofErr w:type="gram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gramStart"/>
      <w:r>
        <w:rPr>
          <w:rFonts w:ascii="Helvetica Neue" w:eastAsia="Helvetica Neue" w:hAnsi="Helvetica Neue" w:cs="Helvetica Neue"/>
        </w:rPr>
        <w:t/>
      </w:r>
      <w:proofErr w:type="gram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gramStart"/>
      <w:r>
        <w:rPr>
          <w:rFonts w:ascii="Helvetica Neue" w:eastAsia="Helvetica Neue" w:hAnsi="Helvetica Neue" w:cs="Helvetica Neue"/>
        </w:rPr>
        <w:t/>
      </w:r>
      <w:proofErr w:type="gramEnd"/>
      <w:r>
        <w:rPr>
          <w:rFonts w:ascii="Helvetica Neue" w:eastAsia="Helvetica Neue" w:hAnsi="Helvetica Neue" w:cs="Helvetica Neue"/>
        </w:rPr>
        <w:t/>
      </w:r>
    </w:p>
    <w:p w14:paraId="50B6BFBA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Os primeiros 20 clientes terão 20% de desconto por 12 meses. Uma indicação recebe 20% do valor efetivamente pago enquanto a conta estiver ativa. Com ARPA de R$208 e churn mensal de 3%, essa comissão vitalícia representa cerca de R$1,3 mil por cliente ao longo da vida esperada; deve ser tratada como despesa comercial recorrente, não como aquisição gratuita.</w:t>
      </w:r>
      <w:proofErr w:type="gramStart"/>
      <w:r>
        <w:rPr>
          <w:rFonts w:ascii="Helvetica Neue" w:eastAsia="Helvetica Neue" w:hAnsi="Helvetica Neue" w:cs="Helvetica Neue"/>
        </w:rPr>
        <w:t/>
      </w:r>
      <w:proofErr w:type="gram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gramStart"/>
      <w:r>
        <w:rPr>
          <w:rFonts w:ascii="Helvetica Neue" w:eastAsia="Helvetica Neue" w:hAnsi="Helvetica Neue" w:cs="Helvetica Neue"/>
        </w:rPr>
        <w:t/>
      </w:r>
      <w:proofErr w:type="gram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/>
      </w:r>
    </w:p>
    <w:p w14:paraId="0DE6301E" w14:textId="77777777">
      <w:pPr>
        <w:pStyle w:val="Heading2"/>
      </w:pPr>
      <w:r>
        <w:t>6.1 Preservação de opcionalidade</w:t>
      </w:r>
    </w:p>
    <w:p w14:paraId="52D0B7CE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A conta exclusiva do SaaS impede mistura de caixa e webhooks com a operação de aluguel. A abstração PaymentProvider mantém planos, descontos e permissões independentes do fornecedor e reduz o custo de uma futura migração.</w:t>
      </w:r>
      <w:proofErr w:type="gramStart"/>
      <w:r>
        <w:rPr>
          <w:rFonts w:ascii="Helvetica Neue" w:eastAsia="Helvetica Neue" w:hAnsi="Helvetica Neue" w:cs="Helvetica Neue"/>
        </w:rPr>
        <w:t/>
      </w:r>
      <w:proofErr w:type="gram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gramStart"/>
      <w:r>
        <w:rPr>
          <w:rFonts w:ascii="Helvetica Neue" w:eastAsia="Helvetica Neue" w:hAnsi="Helvetica Neue" w:cs="Helvetica Neue"/>
        </w:rPr>
        <w:t/>
      </w:r>
      <w:proofErr w:type="gram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</w:p>
    <w:p w14:paraId="2C282990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Reabrir a decisão quando houver 500 a 600 cobranças mensais, proposta comercial que reduza o custo total em pelo menos 15%, necessidade internacional ou perda relevante de receita por falhas de cobrança.</w:t>
      </w:r>
      <w:proofErr w:type="gramStart"/>
      <w:r>
        <w:rPr>
          <w:rFonts w:ascii="Helvetica Neue" w:eastAsia="Helvetica Neue" w:hAnsi="Helvetica Neue" w:cs="Helvetica Neue"/>
        </w:rPr>
        <w:t/>
      </w:r>
      <w:proofErr w:type="gram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/>
      </w:r>
    </w:p>
    <w:p w14:paraId="1BCF36FB" w14:textId="77777777">
      <w:pPr>
        <w:pStyle w:val="Heading2"/>
      </w:pPr>
      <w:r>
        <w:t>6.2 O que mudaria a recomendação</w:t>
      </w:r>
    </w:p>
    <w:p w14:paraId="777D017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Trocar o Asaas antes desses gatilhos só se a homologação de cartão, tokenização ou checkout bloquear o lançamento. Pausar novas indicações se a contribuição das contas indicadas ficar abaixo de 50% ou se a comissão projetada superar o CAC aceitável; direitos já adquiridos permanecem preservados.</w:t>
      </w:r>
      <w:proofErr w:type="gramStart"/>
      <w:r>
        <w:rPr>
          <w:rFonts w:ascii="Helvetica Neue" w:eastAsia="Helvetica Neue" w:hAnsi="Helvetica Neue" w:cs="Helvetica Neue"/>
        </w:rPr>
        <w:t/>
      </w:r>
      <w:proofErr w:type="gram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gramStart"/>
      <w:r>
        <w:rPr>
          <w:rFonts w:ascii="Helvetica Neue" w:eastAsia="Helvetica Neue" w:hAnsi="Helvetica Neue" w:cs="Helvetica Neue"/>
        </w:rPr>
        <w:t/>
      </w:r>
      <w:proofErr w:type="gram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lastRenderedPageBreak/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/>
      </w:r>
    </w:p>
    <w:p w14:paraId="11AE1A9C" w14:textId="77777777">
      <w:pPr>
        <w:pStyle w:val="Heading2"/>
        <w:pageBreakBefore/>
      </w:pPr>
      <w:r>
        <w:lastRenderedPageBreak/>
        <w:t>6.3 Sequenciamento e cronograma de decisão</w:t>
      </w:r>
    </w:p>
    <w:p w14:paraId="5F3F8732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Mês 1 - trabalhar 50 nomes, gerar 30 conversas e 18 demonstrações, encerrar com 5 pagantes, 10 pilotos ativos e R$700 a R$900 de MRR após desconto. Piloto ativo exige cartão validado, onboarding concluído, primeiro imóvel ou cliente e primeiro contrato ou cobrança.</w:t>
      </w:r>
      <w:proofErr w:type="gramStart"/>
      <w:r>
        <w:rPr>
          <w:rFonts w:ascii="Helvetica Neue" w:eastAsia="Helvetica Neue" w:hAnsi="Helvetica Neue" w:cs="Helvetica Neue"/>
        </w:rPr>
        <w:t/>
      </w:r>
      <w:proofErr w:type="gram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gramStart"/>
      <w:r>
        <w:rPr>
          <w:rFonts w:ascii="Helvetica Neue" w:eastAsia="Helvetica Neue" w:hAnsi="Helvetica Neue" w:cs="Helvetica Neue"/>
        </w:rPr>
        <w:t/>
      </w:r>
      <w:proofErr w:type="gram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/>
      </w:r>
    </w:p>
    <w:p w14:paraId="23326FAB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Mês 2 - chegar a 10 a 12 pagantes, converter 40% a 50% dos pilotos e publicar dois depoimentos ou estudos de caso. Manter vendas lideradas pelo fundador e corrigir onboarding antes de ampliar volume.</w:t>
      </w:r>
      <w:proofErr w:type="gramStart"/>
      <w:r>
        <w:rPr>
          <w:rFonts w:ascii="Helvetica Neue" w:eastAsia="Helvetica Neue" w:hAnsi="Helvetica Neue" w:cs="Helvetica Neue"/>
        </w:rPr>
        <w:t/>
      </w:r>
      <w:proofErr w:type="gram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gramStart"/>
      <w:r>
        <w:rPr>
          <w:rFonts w:ascii="Helvetica Neue" w:eastAsia="Helvetica Neue" w:hAnsi="Helvetica Neue" w:cs="Helvetica Neue"/>
        </w:rPr>
        <w:t/>
      </w:r>
      <w:proofErr w:type="gram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/>
      </w:r>
    </w:p>
    <w:p w14:paraId="60F2B92D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Mês 3 - alcançar 18 a 25 pagantes, R$3 mil a R$4 mil de MRR e retenção de 60 dias acima de 80%. Somente então testar mídia com orçamento limitado e CAC totalmente rastreado.</w:t>
      </w:r>
      <w:proofErr w:type="gramStart"/>
      <w:r>
        <w:rPr>
          <w:rFonts w:ascii="Helvetica Neue" w:eastAsia="Helvetica Neue" w:hAnsi="Helvetica Neue" w:cs="Helvetica Neue"/>
        </w:rPr>
        <w:t/>
      </w:r>
      <w:proofErr w:type="gram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gramStart"/>
      <w:r>
        <w:rPr>
          <w:rFonts w:ascii="Helvetica Neue" w:eastAsia="Helvetica Neue" w:hAnsi="Helvetica Neue" w:cs="Helvetica Neue"/>
        </w:rPr>
        <w:t/>
      </w:r>
      <w:proofErr w:type="gram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</w:p>
    <w:p w14:paraId="5AB6ED2E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Cadência mínima - 5 ligações e 10 follow-ups por dia, 3 vídeos curtos por semana, Stories em 5 dias da semana e uma demonstração ao vivo semanal. O CTA único será iniciar uma conversa ou demonstração pelo WhatsApp; o scorecard semanal acompanhará origem, ativação, MRR, falhas e cancelamentos.</w:t>
      </w:r>
      <w:proofErr w:type="gramStart"/>
      <w:r>
        <w:rPr>
          <w:rFonts w:ascii="Helvetica Neue" w:eastAsia="Helvetica Neue" w:hAnsi="Helvetica Neue" w:cs="Helvetica Neue"/>
        </w:rPr>
        <w:t/>
      </w:r>
      <w:proofErr w:type="gram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gramStart"/>
      <w:r>
        <w:rPr>
          <w:rFonts w:ascii="Helvetica Neue" w:eastAsia="Helvetica Neue" w:hAnsi="Helvetica Neue" w:cs="Helvetica Neue"/>
        </w:rPr>
        <w:t/>
      </w:r>
      <w:proofErr w:type="gram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/>
      </w:r>
    </w:p>
    <w:p w14:paraId="36B5E4E3" w14:textId="77777777">
      <w:pPr>
        <w:rPr>
          <w:rFonts w:ascii="Helvetica Neue" w:eastAsia="Helvetica Neue" w:hAnsi="Helvetica Neue" w:cs="Helvetica Neue"/>
        </w:rPr>
      </w:pPr>
      <w:r>
        <w:br w:type="page"/>
      </w:r>
    </w:p>
    <w:p w14:paraId="7B1AB6DF" w14:textId="77777777">
      <w:pPr>
        <w:pStyle w:val="Heading1"/>
      </w:pPr>
      <w:r>
        <w:lastRenderedPageBreak/>
        <w:t>Apêndice - Premissas e fontes</w:t>
      </w:r>
    </w:p>
    <w:p w14:paraId="4AE6841E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Premissas. As metas de conversão, churn de 3% e ARPA de R$208 são hipóteses de planejamento, não histórico comprovado. Valores em reais; taxas consultadas em 13/08/2026.</w:t>
      </w:r>
      <w:proofErr w:type="gramStart"/>
      <w:r>
        <w:rPr>
          <w:rFonts w:ascii="Helvetica Neue" w:eastAsia="Helvetica Neue" w:hAnsi="Helvetica Neue" w:cs="Helvetica Neue"/>
        </w:rPr>
        <w:t/>
      </w:r>
      <w:proofErr w:type="gram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/>
      </w:r>
    </w:p>
    <w:p w14:paraId="4AE6841E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Indicação. Comissão de 20% sobre o valor efetivamente recebido após descontos; não incide sobre piloto gratuito, inadimplência, estorno ou chargeback. Atribuição ao primeiro indicador validado, sem autoindicação ou duplicidade. Programa aberto por 90 dias e limitado aos primeiros 20 indicados.</w:t>
      </w:r>
      <w:proofErr w:type="gramStart"/>
      <w:r>
        <w:rPr>
          <w:rFonts w:ascii="Helvetica Neue" w:eastAsia="Helvetica Neue" w:hAnsi="Helvetica Neue" w:cs="Helvetica Neue"/>
        </w:rPr>
        <w:t/>
      </w:r>
      <w:proofErr w:type="gram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/>
      </w:r>
    </w:p>
    <w:p w14:paraId="4AE6841E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Asaas - preços: https://www.asaas.com/precos-e-taxas</w:t>
      </w:r>
      <w:proofErr w:type="gramStart"/>
      <w:r>
        <w:rPr>
          <w:rFonts w:ascii="Helvetica Neue" w:eastAsia="Helvetica Neue" w:hAnsi="Helvetica Neue" w:cs="Helvetica Neue"/>
        </w:rPr>
        <w:t/>
      </w:r>
      <w:proofErr w:type="gram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/>
      </w:r>
    </w:p>
    <w:p w14:paraId="4AE6841E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Asaas - checkout recorrente: https://docs.asaas.com/docs/checkout-com-assinatura-recorrente</w:t>
      </w:r>
      <w:proofErr w:type="gramStart"/>
      <w:r>
        <w:rPr>
          <w:rFonts w:ascii="Helvetica Neue" w:eastAsia="Helvetica Neue" w:hAnsi="Helvetica Neue" w:cs="Helvetica Neue"/>
        </w:rPr>
        <w:t/>
      </w:r>
      <w:proofErr w:type="gram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/>
      </w:r>
    </w:p>
    <w:p w14:paraId="4AE6841E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Asaas - Pix Automático: https://docs.asaas.com/docs/pix-automatico</w:t>
      </w:r>
      <w:proofErr w:type="gramStart"/>
      <w:r>
        <w:rPr>
          <w:rFonts w:ascii="Helvetica Neue" w:eastAsia="Helvetica Neue" w:hAnsi="Helvetica Neue" w:cs="Helvetica Neue"/>
        </w:rPr>
        <w:t/>
      </w:r>
      <w:proofErr w:type="gram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/>
      </w:r>
    </w:p>
    <w:p w14:paraId="4AE6841E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Stripe - Payments e Billing: https://stripe.com/br/pricing | https://stripe.com/br/billing/pricing</w:t>
      </w:r>
      <w:proofErr w:type="gramStart"/>
      <w:r>
        <w:rPr>
          <w:rFonts w:ascii="Helvetica Neue" w:eastAsia="Helvetica Neue" w:hAnsi="Helvetica Neue" w:cs="Helvetica Neue"/>
        </w:rPr>
        <w:t/>
      </w:r>
      <w:proofErr w:type="gram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/>
      </w:r>
    </w:p>
    <w:p w14:paraId="4AE6841E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Vindi - preços: https://vindi.com.br/precos/</w:t>
      </w:r>
      <w:proofErr w:type="gramStart"/>
      <w:r>
        <w:rPr>
          <w:rFonts w:ascii="Helvetica Neue" w:eastAsia="Helvetica Neue" w:hAnsi="Helvetica Neue" w:cs="Helvetica Neue"/>
        </w:rPr>
        <w:t/>
      </w:r>
      <w:proofErr w:type="gram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/>
      </w:r>
    </w:p>
    <w:p w14:paraId="4AE6841E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Governança. Pagamentos a indicadores exigem contrato, documentação fiscal e validação contábil. O memorando recomenda o desenho estratégico; não altera código, banco ou integrações da aplicação.</w:t>
      </w:r>
      <w:proofErr w:type="gramStart"/>
      <w:r>
        <w:rPr>
          <w:rFonts w:ascii="Helvetica Neue" w:eastAsia="Helvetica Neue" w:hAnsi="Helvetica Neue" w:cs="Helvetica Neue"/>
        </w:rPr>
        <w:t/>
      </w:r>
      <w:proofErr w:type="gram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 xml:space="preserve"/>
      </w:r>
      <w:proofErr w:type="spellStart"/>
      <w:r>
        <w:rPr>
          <w:rFonts w:ascii="Helvetica Neue" w:eastAsia="Helvetica Neue" w:hAnsi="Helvetica Neue" w:cs="Helvetica Neue"/>
        </w:rPr>
        <w:t/>
      </w:r>
      <w:proofErr w:type="spellEnd"/>
      <w:r>
        <w:rPr>
          <w:rFonts w:ascii="Helvetica Neue" w:eastAsia="Helvetica Neue" w:hAnsi="Helvetica Neue" w:cs="Helvetica Neue"/>
        </w:rPr>
        <w:t/>
      </w:r>
    </w:p>
    <w:sectPr>
      <w:headerReference w:type="default" r:id="rId9"/>
      <w:footerReference w:type="default" r:id="rId10"/>
      <w:pgSz w:w="12240" w:h="15840"/>
      <w:pgMar w:top="1440" w:right="1440" w:bottom="1440" w:left="1440" w:header="705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0939A4" w14:textId="77777777">
      <w:r>
        <w:separator/>
      </w:r>
    </w:p>
  </w:endnote>
  <w:endnote w:type="continuationSeparator" w:id="0">
    <w:p w14:paraId="56A038B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D3E6FD9-D3EA-0B48-A55F-C080D5A51BF2}"/>
    <w:embedBold r:id="rId2" w:fontKey="{DDFB625A-45BE-CE44-B15E-DF5BB7815FF7}"/>
    <w:embedItalic r:id="rId3" w:fontKey="{6119CEB5-DE25-6D4D-B2F9-50E47E40CFE1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F3731299-A1D5-B542-9E67-1B0FA6F28C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682841DE-6A2C-764D-8B8B-541E954AD362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9" w:fontKey="{D4D164A4-8B83-F44E-A13B-A0908815976C}"/>
  </w:font>
  <w:font w:name="Cambria">
    <w:panose1 w:val="02040503050406030204"/>
    <w:charset w:val="00"/>
    <w:family w:val="roman"/>
    <w:notTrueType/>
    <w:pitch w:val="default"/>
    <w:embedRegular r:id="rId10" w:fontKey="{129DD48A-EFF5-1A47-8CFE-E7D5F089F4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178A6B" w14:textId="77777777">
    <w:pPr>
      <w:pBdr>
        <w:top w:val="nil"/>
      </w:pBdr>
      <w:tabs>
        <w:tab w:val="right" w:pos="9360"/>
      </w:tabs>
      <w:rPr>
        <w:color w:val="112075"/>
      </w:rPr>
    </w:pPr>
    <w:r>
      <w:rPr>
        <w:color w:val="112075"/>
        <w:sz w:val="16"/>
        <w:szCs w:val="16"/>
      </w:rPr>
      <w:t xml:space="preserve">[Uso interno] — </w:t>
    </w:r>
    <w:r>
      <w:rPr>
        <w:color w:val="112075"/>
        <w:sz w:val="16"/>
        <w:szCs w:val="16"/>
      </w:rPr>
      <w:fldChar w:fldCharType="begin"/>
    </w:r>
    <w:r>
      <w:rPr>
        <w:color w:val="112075"/>
        <w:sz w:val="16"/>
        <w:szCs w:val="16"/>
      </w:rPr>
      <w:instrText>PAGE</w:instrText>
    </w:r>
    <w:r>
      <w:rPr>
        <w:color w:val="112075"/>
        <w:sz w:val="16"/>
        <w:szCs w:val="16"/>
      </w:rPr>
      <w:fldChar w:fldCharType="separate"/>
    </w:r>
    <w:r>
      <w:rPr>
        <w:noProof/>
        <w:color w:val="112075"/>
        <w:sz w:val="16"/>
        <w:szCs w:val="16"/>
      </w:rPr>
      <w:t>1</w:t>
    </w:r>
    <w:r>
      <w:rPr>
        <w:color w:val="112075"/>
        <w:sz w:val="16"/>
        <w:szCs w:val="16"/>
      </w:rPr>
      <w:fldChar w:fldCharType="end"/>
    </w:r>
    <w:r>
      <w:rPr>
        <w:color w:val="112075"/>
        <w:sz w:val="16"/>
        <w:szCs w:val="16"/>
      </w:rPr>
      <w:t xml:space="preserve"> of </w:t>
    </w:r>
    <w:r>
      <w:rPr>
        <w:color w:val="112075"/>
        <w:sz w:val="16"/>
        <w:szCs w:val="16"/>
      </w:rPr>
      <w:fldChar w:fldCharType="begin"/>
    </w:r>
    <w:r>
      <w:rPr>
        <w:color w:val="112075"/>
        <w:sz w:val="16"/>
        <w:szCs w:val="16"/>
      </w:rPr>
      <w:instrText>NUMPAGES</w:instrText>
    </w:r>
    <w:r>
      <w:rPr>
        <w:color w:val="112075"/>
        <w:sz w:val="16"/>
        <w:szCs w:val="16"/>
      </w:rPr>
      <w:fldChar w:fldCharType="separate"/>
    </w:r>
    <w:r>
      <w:rPr>
        <w:noProof/>
        <w:color w:val="112075"/>
        <w:sz w:val="16"/>
        <w:szCs w:val="16"/>
      </w:rPr>
      <w:t>2</w:t>
    </w:r>
    <w:r>
      <w:rPr>
        <w:color w:val="11207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94D08F" w14:textId="77777777">
      <w:r>
        <w:separator/>
      </w:r>
    </w:p>
  </w:footnote>
  <w:footnote w:type="continuationSeparator" w:id="0">
    <w:p w14:paraId="4AF4CD8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4F3B78" w14:textId="77777777">
    <w:pPr>
      <w:tabs>
        <w:tab w:val="right" w:pos="9360"/>
      </w:tabs>
      <w:rPr>
        <w:color w:val="1A1BAA"/>
        <w:sz w:val="16"/>
        <w:szCs w:val="16"/>
      </w:rPr>
    </w:pPr>
  </w:p>
  <w:tbl>
    <w:tblPr>
      <w:tblStyle w:val="a4"/>
      <w:tblW w:w="9360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9360"/>
    </w:tblGrid>
    <w:tr w14:paraId="2CCD06D5" w14:textId="77777777">
      <w:tc>
        <w:tcPr>
          <w:tcW w:w="9360" w:type="dxa"/>
          <w:tcBorders>
            <w:top w:val="single" w:sz="48" w:space="0" w:color="112075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44A9451B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1A1BAA"/>
              <w:sz w:val="16"/>
              <w:szCs w:val="16"/>
            </w:rPr>
          </w:pPr>
        </w:p>
      </w:tc>
    </w:tr>
  </w:tbl>
  <w:p w14:paraId="508BF40B" w14:textId="77777777">
    <w:pPr>
      <w:tabs>
        <w:tab w:val="right" w:pos="9360"/>
      </w:tabs>
      <w:rPr>
        <w:b/>
        <w:bCs/>
        <w:color w:val="112075"/>
        <w:sz w:val="16"/>
        <w:szCs w:val="16"/>
      </w:rPr>
    </w:pPr>
    <w:r>
      <w:rPr>
        <w:color w:val="112075"/>
        <w:sz w:val="16"/>
        <w:szCs w:val="16"/>
      </w:rPr>
      <w:t>Lotti | Memorando estratégico</w:t>
    </w:r>
  </w:p>
  <w:p w14:paraId="241E1B98" w14:textId="77777777">
    <w:pPr>
      <w:tabs>
        <w:tab w:val="right" w:pos="9360"/>
      </w:tabs>
      <w:rPr>
        <w:b/>
        <w:bCs/>
        <w:color w:val="2224C5"/>
        <w:sz w:val="16"/>
        <w:szCs w:val="16"/>
      </w:rPr>
    </w:pPr>
  </w:p>
  <w:p w14:paraId="321568A4" w14:textId="77777777">
    <w:pPr>
      <w:tabs>
        <w:tab w:val="right" w:pos="9360"/>
      </w:tabs>
      <w:rPr>
        <w:b/>
        <w:bCs/>
        <w:color w:val="2224C5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D01B79"/>
    <w:multiLevelType w:val="multilevel"/>
    <w:tmpl w:val="66202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A8E1372"/>
    <w:multiLevelType w:val="multilevel"/>
    <w:tmpl w:val="CAB63DA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60104273">
    <w:abstractNumId w:val="1"/>
  </w:num>
  <w:num w:numId="2" w16cid:durableId="5625620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updateFields w:val="true"/>
  <w:zoom w:percent="9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80917"/>
  <w15:docId w15:val="{05643887-4187-7F4D-B23A-57FBA86AE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80" w:after="160"/>
      <w:outlineLvl w:val="0"/>
    </w:pPr>
    <w:rPr>
      <w:rFonts w:ascii="Helvetica Neue" w:eastAsia="Helvetica Neue" w:hAnsi="Helvetica Neue" w:cs="Helvetica Neue"/>
      <w:b/>
      <w:bCs/>
      <w:color w:val="112075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00" w:after="100"/>
      <w:outlineLvl w:val="1"/>
    </w:pPr>
    <w:rPr>
      <w:rFonts w:ascii="Helvetica Neue" w:eastAsia="Helvetica Neue" w:hAnsi="Helvetica Neue" w:cs="Helvetica Neue"/>
      <w:b/>
      <w:bCs/>
      <w:color w:val="112075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40" w:after="80"/>
      <w:outlineLvl w:val="2"/>
    </w:pPr>
    <w:rPr>
      <w:b/>
      <w:bCs/>
      <w:color w:val="40404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280" w:after="160"/>
      <w:jc w:val="center"/>
    </w:pPr>
    <w:rPr>
      <w:rFonts w:ascii="Helvetica Neue" w:eastAsia="Helvetica Neue" w:hAnsi="Helvetica Neue" w:cs="Helvetica Neue"/>
      <w:b/>
      <w:bCs/>
      <w:color w:val="112075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1658</Words>
  <Characters>9454</Characters>
  <Application>Microsoft Office Word</Application>
  <DocSecurity>0</DocSecurity>
  <Lines>78</Lines>
  <Paragraphs>22</Paragraphs>
  <ScaleCrop>false</ScaleCrop>
  <Company/>
  <LinksUpToDate>false</LinksUpToDate>
  <CharactersWithSpaces>11090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 estratégico de lançamento da Lotti</dc:title>
  <dc:subject>Gateway, metas, indicação e distribuição em 90 dias</dc:subject>
  <dc:creator>Equipe Lotti</dc:creator>
  <cp:lastModifiedBy>Equipe Lotti</cp:lastModifiedBy>
  <dcterms:modified xsi:type="dcterms:W3CDTF">2026-08-13T17:33:51Z</dcterms:modified>
</cp:coreProperties>
</file>