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0A2330" w:val="clear"/>
            <w:tcMar>
              <w:top w:type="dxa" w:w="200"/>
              <w:left w:type="dxa" w:w="260"/>
              <w:bottom w:type="dxa" w:w="200"/>
              <w:right w:type="dxa" w:w="260"/>
            </w:tcMar>
          </w:tcPr>
          <w:p>
            <w:pPr>
              <w:spacing w:after="40"/>
            </w:pPr>
            <w:r>
              <w:rPr>
                <w:rFonts w:ascii="Arial" w:cs="Arial" w:eastAsia="Arial" w:hAnsi="Arial"/>
                <w:b/>
                <w:bCs/>
                <w:color w:val="9DB8CC"/>
                <w:spacing w:val="40"/>
                <w:sz w:val="16"/>
                <w:szCs w:val="16"/>
              </w:rPr>
              <w:t xml:space="preserve">DOCUMENT INTERNE — POUR VALIDATION</w:t>
            </w:r>
          </w:p>
          <w:p>
            <w:pPr>
              <w:spacing w:after="60"/>
            </w:pPr>
            <w:r>
              <w:rPr>
                <w:rFonts w:ascii="Arial" w:cs="Arial" w:eastAsia="Arial" w:hAnsi="Arial"/>
                <w:b/>
                <w:bCs/>
                <w:color w:val="FFFFFF"/>
                <w:sz w:val="36"/>
                <w:szCs w:val="36"/>
              </w:rPr>
              <w:t xml:space="preserve">Grille tarifaire du tunnel d'estimation</w:t>
            </w:r>
          </w:p>
          <w:p>
            <w:pPr>
              <w:spacing w:after="20"/>
            </w:pPr>
            <w:r>
              <w:rPr>
                <w:rFonts w:ascii="Arial" w:cs="Arial" w:eastAsia="Arial" w:hAnsi="Arial"/>
                <w:color w:val="D5DEE7"/>
                <w:sz w:val="18"/>
                <w:szCs w:val="18"/>
              </w:rPr>
              <w:t xml:space="preserve">À l'attention de Valoux Prince — valeurs placeholder à valider avant mise en production</w:t>
            </w:r>
          </w:p>
          <w:p>
            <w:r>
              <w:rPr>
                <w:rFonts w:ascii="Arial" w:cs="Arial" w:eastAsia="Arial" w:hAnsi="Arial"/>
                <w:color w:val="D5DEE7"/>
                <w:sz w:val="18"/>
                <w:szCs w:val="18"/>
              </w:rPr>
              <w:t xml:space="preserve">Projet réf : </w:t>
            </w:r>
            <w:r>
              <w:rPr>
                <w:rFonts w:ascii="Arial" w:cs="Arial" w:eastAsia="Arial" w:hAnsi="Arial"/>
                <w:b/>
                <w:bCs/>
                <w:color w:val="FFFFFF"/>
                <w:sz w:val="18"/>
                <w:szCs w:val="18"/>
              </w:rPr>
              <w:t xml:space="preserve">Estimation en ligne trinexta.fr</w:t>
            </w:r>
          </w:p>
        </w:tc>
      </w:tr>
    </w:tbl>
    <w:p>
      <w:pPr>
        <w:spacing w:after="200" w:before="0" w:line="264"/>
      </w:pPr>
      <w:r>
        <w:rPr>
          <w:rFonts w:ascii="Arial" w:cs="Arial" w:eastAsia="Arial" w:hAnsi="Arial"/>
          <w:i/>
          <w:iCs/>
          <w:color w:val="5A5A5A"/>
          <w:sz w:val="20"/>
          <w:szCs w:val="20"/>
        </w:rPr>
        <w:t xml:space="preserve">Ce document présente les valeurs de tarification actuellement codées dans le tunnel d'estimation (src/data/estimation/grids/). Elles sont placées à titre indicatif par l'équipe technique et n'ont pas été validées commercialement. Aucune mise en production ne sera faite avant retour sur ces montants.</w:t>
      </w:r>
    </w:p>
    <w:p>
      <w:pPr>
        <w:pBdr>
          <w:bottom w:val="single" w:color="5C92B8" w:sz="8" w:space="4"/>
        </w:pBdr>
        <w:spacing w:after="60" w:before="280"/>
      </w:pPr>
      <w:r>
        <w:rPr>
          <w:rFonts w:ascii="Arial" w:cs="Arial" w:eastAsia="Arial" w:hAnsi="Arial"/>
          <w:b/>
          <w:bCs/>
          <w:color w:val="5C92B8"/>
          <w:sz w:val="26"/>
          <w:szCs w:val="26"/>
        </w:rPr>
        <w:t xml:space="preserve">01  </w:t>
      </w:r>
      <w:r>
        <w:rPr>
          <w:rFonts w:ascii="Arial" w:cs="Arial" w:eastAsia="Arial" w:hAnsi="Arial"/>
          <w:b/>
          <w:bCs/>
          <w:color w:val="0A2330"/>
          <w:sz w:val="26"/>
          <w:szCs w:val="26"/>
        </w:rPr>
        <w:t xml:space="preserve">Services récurrents (abonnement mensuel)</w:t>
      </w:r>
    </w:p>
    <w:p>
      <w:pPr>
        <w:spacing w:after="120" w:before="0" w:line="264"/>
      </w:pPr>
      <w:r>
        <w:rPr>
          <w:rFonts w:ascii="Arial" w:cs="Arial" w:eastAsia="Arial" w:hAnsi="Arial"/>
          <w:color w:val="5A5A5A"/>
          <w:sz w:val="20"/>
          <w:szCs w:val="20"/>
        </w:rPr>
        <w:t xml:space="preserve">Tarif dégressif par palier de volume (parc de postes ou nombre d'utilisateurs). Le tarif de base s'applique hors volume ; chaque palier donne le prix unitaire par poste/utilisateur/mois.</w:t>
      </w:r>
    </w:p>
    <w:p>
      <w:pPr>
        <w:spacing w:after="40" w:before="100"/>
      </w:pPr>
      <w:r>
        <w:rPr>
          <w:rFonts w:ascii="Arial" w:cs="Arial" w:eastAsia="Arial" w:hAnsi="Arial"/>
          <w:b/>
          <w:bCs/>
          <w:color w:val="5C92B8"/>
          <w:spacing w:val="30"/>
          <w:sz w:val="16"/>
          <w:szCs w:val="16"/>
        </w:rPr>
        <w:t xml:space="preserve">SUPPORT INFORMATIQUE  ·  PRIX PAR POSTE/MOIS  ·  BASE 50 €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Palier de volume</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unitaire /mois</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25 €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21 €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17 €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14 €</w:t>
            </w:r>
          </w:p>
        </w:tc>
      </w:tr>
    </w:tbl>
    <w:p>
      <w:pPr>
        <w:spacing w:after="40" w:before="100"/>
      </w:pPr>
      <w:r>
        <w:rPr>
          <w:rFonts w:ascii="Arial" w:cs="Arial" w:eastAsia="Arial" w:hAnsi="Arial"/>
          <w:b/>
          <w:bCs/>
          <w:color w:val="5C92B8"/>
          <w:spacing w:val="30"/>
          <w:sz w:val="16"/>
          <w:szCs w:val="16"/>
        </w:rPr>
        <w:t xml:space="preserve">INFOGÉRANCE  ·  PRIX PAR POSTE/MOIS  ·  BASE 90 €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Palier de volume</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unitaire /mois</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45 €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39 €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33 €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28 €</w:t>
            </w:r>
          </w:p>
        </w:tc>
      </w:tr>
    </w:tbl>
    <w:p>
      <w:pPr>
        <w:spacing w:after="40" w:before="100"/>
      </w:pPr>
      <w:r>
        <w:rPr>
          <w:rFonts w:ascii="Arial" w:cs="Arial" w:eastAsia="Arial" w:hAnsi="Arial"/>
          <w:b/>
          <w:bCs/>
          <w:color w:val="5C92B8"/>
          <w:spacing w:val="30"/>
          <w:sz w:val="16"/>
          <w:szCs w:val="16"/>
        </w:rPr>
        <w:t xml:space="preserve">CYBERSÉCURITÉ  ·  PRIX PAR POSTE/MOIS  ·  BASE 60 €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Palier de volume</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unitaire /mois</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18 €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15 €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12 €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10 €</w:t>
            </w:r>
          </w:p>
        </w:tc>
      </w:tr>
    </w:tbl>
    <w:p>
      <w:pPr>
        <w:spacing w:after="40" w:before="100"/>
      </w:pPr>
      <w:r>
        <w:rPr>
          <w:rFonts w:ascii="Arial" w:cs="Arial" w:eastAsia="Arial" w:hAnsi="Arial"/>
          <w:b/>
          <w:bCs/>
          <w:color w:val="5C92B8"/>
          <w:spacing w:val="30"/>
          <w:sz w:val="16"/>
          <w:szCs w:val="16"/>
        </w:rPr>
        <w:t xml:space="preserve">CLOUD &amp; SAUVEGARDE  ·  PRIX PAR POSTE/MOIS  ·  BASE 40 €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Palier de volume</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unitaire /mois</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12 €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8 €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40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7 €</w:t>
            </w:r>
          </w:p>
        </w:tc>
      </w:tr>
    </w:tbl>
    <w:p>
      <w:pPr>
        <w:spacing w:after="40" w:before="100"/>
      </w:pPr>
      <w:r>
        <w:rPr>
          <w:rFonts w:ascii="Arial" w:cs="Arial" w:eastAsia="Arial" w:hAnsi="Arial"/>
          <w:b/>
          <w:bCs/>
          <w:color w:val="5C92B8"/>
          <w:spacing w:val="30"/>
          <w:sz w:val="16"/>
          <w:szCs w:val="16"/>
        </w:rPr>
        <w:t xml:space="preserve">MICROSOFT 365  ·  PRIX PAR UTILISATEUR/MOIS  ·  BASE 30 €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Palier de volume</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unitaire /mois</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24 €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15</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21 €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50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18 €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50</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16 €</w:t>
            </w:r>
          </w:p>
        </w:tc>
      </w:tr>
    </w:tbl>
    <w:p>
      <w:pPr>
        <w:pBdr>
          <w:bottom w:val="single" w:color="5C92B8" w:sz="8" w:space="4"/>
        </w:pBdr>
        <w:spacing w:after="60" w:before="280"/>
      </w:pPr>
      <w:r>
        <w:rPr>
          <w:rFonts w:ascii="Arial" w:cs="Arial" w:eastAsia="Arial" w:hAnsi="Arial"/>
          <w:b/>
          <w:bCs/>
          <w:color w:val="5C92B8"/>
          <w:sz w:val="26"/>
          <w:szCs w:val="26"/>
        </w:rPr>
        <w:t xml:space="preserve">02  </w:t>
      </w:r>
      <w:r>
        <w:rPr>
          <w:rFonts w:ascii="Arial" w:cs="Arial" w:eastAsia="Arial" w:hAnsi="Arial"/>
          <w:b/>
          <w:bCs/>
          <w:color w:val="0A2330"/>
          <w:sz w:val="26"/>
          <w:szCs w:val="26"/>
        </w:rPr>
        <w:t xml:space="preserve">Technicien en régie (facturation à la journée)</w:t>
      </w:r>
    </w:p>
    <w:p>
      <w:pPr>
        <w:spacing w:after="120" w:before="0" w:line="264"/>
      </w:pPr>
      <w:r>
        <w:rPr>
          <w:rFonts w:ascii="Arial" w:cs="Arial" w:eastAsia="Arial" w:hAnsi="Arial"/>
          <w:color w:val="5A5A5A"/>
          <w:sz w:val="20"/>
          <w:szCs w:val="20"/>
        </w:rPr>
        <w:t xml:space="preserve">Prix dégressif selon le volume de jours engagés sur la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Volume de jours</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Prix / jour</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4 jours</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480 €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Jusqu'à 12 jours</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450 €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Au-delà de 12 jours</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420 €</w:t>
            </w:r>
          </w:p>
        </w:tc>
      </w:tr>
    </w:tbl>
    <w:p>
      <w:pPr>
        <w:pBdr>
          <w:bottom w:val="single" w:color="5C92B8" w:sz="8" w:space="4"/>
        </w:pBdr>
        <w:spacing w:after="60" w:before="280"/>
      </w:pPr>
      <w:r>
        <w:rPr>
          <w:rFonts w:ascii="Arial" w:cs="Arial" w:eastAsia="Arial" w:hAnsi="Arial"/>
          <w:b/>
          <w:bCs/>
          <w:color w:val="5C92B8"/>
          <w:sz w:val="26"/>
          <w:szCs w:val="26"/>
        </w:rPr>
        <w:t xml:space="preserve">03  </w:t>
      </w:r>
      <w:r>
        <w:rPr>
          <w:rFonts w:ascii="Arial" w:cs="Arial" w:eastAsia="Arial" w:hAnsi="Arial"/>
          <w:b/>
          <w:bCs/>
          <w:color w:val="0A2330"/>
          <w:sz w:val="26"/>
          <w:szCs w:val="26"/>
        </w:rPr>
        <w:t xml:space="preserve">Projets ponctuels (fourchette forfaitaire)</w:t>
      </w:r>
    </w:p>
    <w:p>
      <w:pPr>
        <w:spacing w:after="120" w:before="0" w:line="264"/>
      </w:pPr>
      <w:r>
        <w:rPr>
          <w:rFonts w:ascii="Arial" w:cs="Arial" w:eastAsia="Arial" w:hAnsi="Arial"/>
          <w:color w:val="5A5A5A"/>
          <w:sz w:val="20"/>
          <w:szCs w:val="20"/>
        </w:rPr>
        <w:t xml:space="preserve">Trois niveaux de complexité, chacun avec une fourchette basse-haute avant ajustements.</w:t>
      </w:r>
    </w:p>
    <w:p>
      <w:pPr>
        <w:spacing w:after="40" w:before="100"/>
      </w:pPr>
      <w:r>
        <w:rPr>
          <w:rFonts w:ascii="Arial" w:cs="Arial" w:eastAsia="Arial" w:hAnsi="Arial"/>
          <w:b/>
          <w:bCs/>
          <w:color w:val="5C92B8"/>
          <w:spacing w:val="30"/>
          <w:sz w:val="16"/>
          <w:szCs w:val="16"/>
        </w:rPr>
        <w:t xml:space="preserve">TRINEXTA STUDIO (SITES WEB,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Niveau de projet</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Fourchette</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Simple</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2 500 € – 5 000 €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Standard</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5 000 € – 12 000 €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Sur-mesure</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12 000 € – 25 000 €</w:t>
            </w:r>
          </w:p>
        </w:tc>
      </w:tr>
    </w:tbl>
    <w:p>
      <w:pPr>
        <w:spacing w:after="40" w:before="100"/>
      </w:pPr>
      <w:r>
        <w:rPr>
          <w:rFonts w:ascii="Arial" w:cs="Arial" w:eastAsia="Arial" w:hAnsi="Arial"/>
          <w:b/>
          <w:bCs/>
          <w:color w:val="5C92B8"/>
          <w:spacing w:val="30"/>
          <w:sz w:val="16"/>
          <w:szCs w:val="16"/>
        </w:rPr>
        <w:t xml:space="preserve">SOLUTIONS MÉTIER (OUTILS INTERNES, AUTOMATISATION)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5DEE7" w:sz="4"/>
              <w:left w:val="single" w:color="D5DEE7" w:sz="4"/>
              <w:bottom w:val="single" w:color="D5DEE7" w:sz="4"/>
              <w:right w:val="single" w:color="D5DEE7" w:sz="4"/>
            </w:tcBorders>
            <w:shd w:fill="EAF1F7" w:val="clear"/>
            <w:tcMar>
              <w:top w:type="dxa" w:w="90"/>
              <w:left w:type="dxa" w:w="140"/>
              <w:bottom w:type="dxa" w:w="90"/>
              <w:right w:type="dxa" w:w="120"/>
            </w:tcMar>
            <w:vAlign w:val="center"/>
          </w:tcPr>
          <w:p>
            <w:r>
              <w:rPr>
                <w:rFonts w:ascii="Arial" w:cs="Arial" w:eastAsia="Arial" w:hAnsi="Arial"/>
                <w:b/>
                <w:bCs/>
                <w:color w:val="0A2330"/>
                <w:sz w:val="20"/>
                <w:szCs w:val="20"/>
              </w:rPr>
              <w:t xml:space="preserve">Niveau de projet</w:t>
            </w:r>
          </w:p>
        </w:tc>
        <w:tc>
          <w:tcPr>
            <w:tcW w:type="dxa" w:w="2600"/>
            <w:tcBorders>
              <w:top w:val="single" w:color="D5DEE7" w:sz="4"/>
              <w:left w:val="single" w:color="D5DEE7" w:sz="4"/>
              <w:bottom w:val="single" w:color="D5DEE7" w:sz="4"/>
              <w:right w:val="single" w:color="D5DEE7" w:sz="4"/>
            </w:tcBorders>
            <w:shd w:fill="EAF1F7" w:val="clear"/>
            <w:tcMar>
              <w:top w:type="dxa" w:w="90"/>
              <w:left w:type="dxa" w:w="120"/>
              <w:bottom w:type="dxa" w:w="90"/>
              <w:right w:type="dxa" w:w="140"/>
            </w:tcMar>
            <w:vAlign w:val="center"/>
          </w:tcPr>
          <w:p>
            <w:pPr>
              <w:jc w:val="right"/>
            </w:pPr>
            <w:r>
              <w:rPr>
                <w:rFonts w:ascii="Arial" w:cs="Arial" w:eastAsia="Arial" w:hAnsi="Arial"/>
                <w:b/>
                <w:bCs/>
                <w:color w:val="0A2330"/>
                <w:sz w:val="20"/>
                <w:szCs w:val="20"/>
              </w:rPr>
              <w:t xml:space="preserve">Fourchette</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Simple</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4 000 € – 8 000 €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Standard</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8 000 € – 18 000 €</w:t>
            </w:r>
          </w:p>
        </w:tc>
      </w:tr>
      <w:tr>
        <w:tc>
          <w:tcPr>
            <w:tcW w:type="dxa" w:w="6760"/>
            <w:tcBorders>
              <w:top w:val="single" w:color="D5DEE7" w:sz="4"/>
              <w:left w:val="single" w:color="D5DEE7" w:sz="4"/>
              <w:bottom w:val="single" w:color="D5DEE7" w:sz="4"/>
              <w:right w:val="single" w:color="D5DEE7" w:sz="4"/>
            </w:tcBorders>
            <w:shd w:val="clear"/>
            <w:tcMar>
              <w:top w:type="dxa" w:w="90"/>
              <w:left w:type="dxa" w:w="140"/>
              <w:bottom w:type="dxa" w:w="90"/>
              <w:right w:type="dxa" w:w="120"/>
            </w:tcMar>
            <w:vAlign w:val="center"/>
          </w:tcPr>
          <w:p>
            <w:r>
              <w:rPr>
                <w:rFonts w:ascii="Arial" w:cs="Arial" w:eastAsia="Arial" w:hAnsi="Arial"/>
                <w:color w:val="1A1A1A"/>
                <w:sz w:val="20"/>
                <w:szCs w:val="20"/>
              </w:rPr>
              <w:t xml:space="preserve">Sur-mesure</w:t>
            </w:r>
          </w:p>
        </w:tc>
        <w:tc>
          <w:tcPr>
            <w:tcW w:type="dxa" w:w="2600"/>
            <w:tcBorders>
              <w:top w:val="single" w:color="D5DEE7" w:sz="4"/>
              <w:left w:val="single" w:color="D5DEE7" w:sz="4"/>
              <w:bottom w:val="single" w:color="D5DEE7" w:sz="4"/>
              <w:right w:val="single" w:color="D5DEE7" w:sz="4"/>
            </w:tcBorders>
            <w:shd w:val="clear"/>
            <w:tcMar>
              <w:top w:type="dxa" w:w="90"/>
              <w:left w:type="dxa" w:w="120"/>
              <w:bottom w:type="dxa" w:w="90"/>
              <w:right w:type="dxa" w:w="140"/>
            </w:tcMar>
            <w:vAlign w:val="center"/>
          </w:tcPr>
          <w:p>
            <w:pPr>
              <w:jc w:val="right"/>
            </w:pPr>
            <w:r>
              <w:rPr>
                <w:rFonts w:ascii="Arial" w:cs="Arial" w:eastAsia="Arial" w:hAnsi="Arial"/>
                <w:color w:val="1A1A1A"/>
                <w:sz w:val="20"/>
                <w:szCs w:val="20"/>
              </w:rPr>
              <w:t xml:space="preserve">18 000 € – 40 000 €</w:t>
            </w:r>
          </w:p>
        </w:tc>
      </w:tr>
    </w:tbl>
    <w:p>
      <w:pPr>
        <w:pBdr>
          <w:bottom w:val="single" w:color="5C92B8" w:sz="8" w:space="4"/>
        </w:pBdr>
        <w:spacing w:after="60" w:before="280"/>
      </w:pPr>
      <w:r>
        <w:rPr>
          <w:rFonts w:ascii="Arial" w:cs="Arial" w:eastAsia="Arial" w:hAnsi="Arial"/>
          <w:b/>
          <w:bCs/>
          <w:color w:val="5C92B8"/>
          <w:sz w:val="26"/>
          <w:szCs w:val="26"/>
        </w:rPr>
        <w:t xml:space="preserve">04  </w:t>
      </w:r>
      <w:r>
        <w:rPr>
          <w:rFonts w:ascii="Arial" w:cs="Arial" w:eastAsia="Arial" w:hAnsi="Arial"/>
          <w:b/>
          <w:bCs/>
          <w:color w:val="0A2330"/>
          <w:sz w:val="26"/>
          <w:szCs w:val="26"/>
        </w:rPr>
        <w:t xml:space="preserve">Mécanique d'ajustement (rappel)</w:t>
      </w:r>
    </w:p>
    <w:p>
      <w:pPr>
        <w:pStyle w:val="ListParagraph"/>
        <w:numPr>
          <w:ilvl w:val="0"/>
          <w:numId w:val="2"/>
        </w:numPr>
        <w:spacing w:after="80" w:line="260"/>
      </w:pPr>
      <w:r>
        <w:rPr>
          <w:rFonts w:ascii="Arial" w:cs="Arial" w:eastAsia="Arial" w:hAnsi="Arial"/>
          <w:b/>
          <w:bCs/>
          <w:color w:val="0A2330"/>
          <w:sz w:val="20"/>
          <w:szCs w:val="20"/>
        </w:rPr>
        <w:t xml:space="preserve">Réponses au questionnaire. </w:t>
      </w:r>
      <w:r>
        <w:rPr>
          <w:rFonts w:ascii="Arial" w:cs="Arial" w:eastAsia="Arial" w:hAnsi="Arial"/>
          <w:color w:val="5A5A5A"/>
          <w:sz w:val="20"/>
          <w:szCs w:val="20"/>
        </w:rPr>
        <w:t xml:space="preserve">Chaque réponse du prospect (ex. nombre de serveurs, criticité, état des lieux) applique un ajustement fixe de -30 % à +50 % selon le service.</w:t>
      </w:r>
    </w:p>
    <w:p>
      <w:pPr>
        <w:pStyle w:val="ListParagraph"/>
        <w:numPr>
          <w:ilvl w:val="0"/>
          <w:numId w:val="2"/>
        </w:numPr>
        <w:spacing w:after="80" w:line="260"/>
      </w:pPr>
      <w:r>
        <w:rPr>
          <w:rFonts w:ascii="Arial" w:cs="Arial" w:eastAsia="Arial" w:hAnsi="Arial"/>
          <w:b/>
          <w:bCs/>
          <w:color w:val="0A2330"/>
          <w:sz w:val="20"/>
          <w:szCs w:val="20"/>
        </w:rPr>
        <w:t xml:space="preserve">Champ libre analysé par IA. </w:t>
      </w:r>
      <w:r>
        <w:rPr>
          <w:rFonts w:ascii="Arial" w:cs="Arial" w:eastAsia="Arial" w:hAnsi="Arial"/>
          <w:color w:val="5A5A5A"/>
          <w:sz w:val="20"/>
          <w:szCs w:val="20"/>
        </w:rPr>
        <w:t xml:space="preserve">Le texte libre du prospect peut déclencher des modificateurs bornés supplémentaires (-10 % à +25 %), jamais de prix libre.</w:t>
      </w:r>
    </w:p>
    <w:p>
      <w:pPr>
        <w:pStyle w:val="ListParagraph"/>
        <w:numPr>
          <w:ilvl w:val="0"/>
          <w:numId w:val="2"/>
        </w:numPr>
        <w:spacing w:after="80" w:line="260"/>
      </w:pPr>
      <w:r>
        <w:rPr>
          <w:rFonts w:ascii="Arial" w:cs="Arial" w:eastAsia="Arial" w:hAnsi="Arial"/>
          <w:b/>
          <w:bCs/>
          <w:color w:val="0A2330"/>
          <w:sz w:val="20"/>
          <w:szCs w:val="20"/>
        </w:rPr>
        <w:t xml:space="preserve">Fourchette affichée. </w:t>
      </w:r>
      <w:r>
        <w:rPr>
          <w:rFonts w:ascii="Arial" w:cs="Arial" w:eastAsia="Arial" w:hAnsi="Arial"/>
          <w:color w:val="5A5A5A"/>
          <w:sz w:val="20"/>
          <w:szCs w:val="20"/>
        </w:rPr>
        <w:t xml:space="preserve">Un spread de ±10 % (±20 % si les informations sont incomplètes) est appliqué autour du prix calculé avant affichage au prospect.</w:t>
      </w:r>
    </w:p>
    <w:tbl>
      <w:tblPr>
        <w:tblW w:type="dxa" w:w="9360"/>
        <w:tblBorders>
          <w:top w:val="none"/>
          <w:left w:val="none"/>
          <w:bottom w:val="none"/>
          <w:right w:val="none"/>
          <w:insideH w:val="none"/>
          <w:insideV w:val="none"/>
        </w:tblBorders>
      </w:tblPr>
      <w:tblGrid>
        <w:gridCol w:w="40"/>
        <w:gridCol w:w="9320"/>
      </w:tblGrid>
      <w:tr>
        <w:tc>
          <w:tcPr>
            <w:tcW w:type="dxa" w:w="40"/>
            <w:shd w:fill="5C92B8" w:val="clear"/>
          </w:tcPr>
          <w:p>
            <w:r>
              <w:rPr>
                <w:sz w:val="2"/>
                <w:szCs w:val="2"/>
              </w:rPr>
              <w:t xml:space="preserve"/>
            </w:r>
          </w:p>
        </w:tc>
        <w:tc>
          <w:tcPr>
            <w:tcW w:type="dxa" w:w="9320"/>
            <w:shd w:fill="EAF1F7" w:val="clear"/>
            <w:tcMar>
              <w:top w:type="dxa" w:w="140"/>
              <w:left w:type="dxa" w:w="220"/>
              <w:bottom w:type="dxa" w:w="140"/>
              <w:right w:type="dxa" w:w="200"/>
            </w:tcMar>
          </w:tcPr>
          <w:p>
            <w:pPr>
              <w:spacing w:after="40"/>
            </w:pPr>
            <w:r>
              <w:rPr>
                <w:rFonts w:ascii="Arial" w:cs="Arial" w:eastAsia="Arial" w:hAnsi="Arial"/>
                <w:b/>
                <w:bCs/>
                <w:color w:val="0A2330"/>
                <w:sz w:val="19"/>
                <w:szCs w:val="19"/>
              </w:rPr>
              <w:t xml:space="preserve">Point de validation attendu</w:t>
            </w:r>
          </w:p>
          <w:p>
            <w:pPr>
              <w:spacing w:after="0"/>
            </w:pPr>
            <w:r>
              <w:rPr>
                <w:rFonts w:ascii="Arial" w:cs="Arial" w:eastAsia="Arial" w:hAnsi="Arial"/>
                <w:color w:val="5A5A5A"/>
                <w:sz w:val="18"/>
                <w:szCs w:val="18"/>
              </w:rPr>
              <w:t xml:space="preserve">Merci de confirmer ou ajuster : le tarif de base et les prix par palier de chaque service récurrent, les fourchettes des projets ponctuels, et le tarif journalier de la régie. Les pourcentages d'ajustement peuvent aussi être révisés si certains critères pèsent trop ou trop peu sur le résultat final.</w:t>
            </w:r>
          </w:p>
        </w:tc>
      </w:tr>
    </w:tbl>
    <w:sectPr>
      <w:headerReference w:type="default" r:id="rId7"/>
      <w:footerReference w:type="default" r:id="rId8"/>
      <w:pgSz w:w="12240" w:h="15840" w:orient="portrait"/>
      <w:pgMar w:top="160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5DEE7" w:sz="6" w:space="1"/>
      </w:pBdr>
      <w:spacing w:after="40" w:before="0"/>
    </w:pPr>
    <w:r>
      <w:rPr>
        <w:sz w:val="2"/>
        <w:szCs w:val="2"/>
      </w:rPr>
      <w:t xml:space="preserve"/>
    </w:r>
  </w:p>
  <w:p>
    <w:pPr>
      <w:tabs>
        <w:tab w:val="right" w:pos="9360"/>
      </w:tabs>
    </w:pPr>
    <w:r>
      <w:rPr>
        <w:rFonts w:ascii="Arial" w:cs="Arial" w:eastAsia="Arial" w:hAnsi="Arial"/>
        <w:color w:val="5A5A5A"/>
        <w:sz w:val="12"/>
        <w:szCs w:val="12"/>
      </w:rPr>
      <w:t xml:space="preserve">TRINEXTA · TrusTech IT Support SAS · 7 rue Montespan, 91000 Évry · contact@trinexta.fr · 09 78 25 07 46 · www.trinexta.fr</w:t>
    </w:r>
    <w:r>
      <w:rPr>
        <w:rFonts w:ascii="Arial" w:cs="Arial" w:eastAsia="Arial" w:hAnsi="Arial"/>
        <w:color w:val="5A5A5A"/>
        <w:sz w:val="12"/>
        <w:szCs w:val="12"/>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Arial" w:cs="Arial" w:eastAsia="Arial" w:hAnsi="Arial"/>
        <w:b/>
        <w:bCs/>
        <w:color w:val="0A2330"/>
        <w:spacing w:val="40"/>
        <w:sz w:val="24"/>
        <w:szCs w:val="24"/>
      </w:rPr>
      <w:t xml:space="preserve">TRINEXTA</w:t>
    </w:r>
    <w:r>
      <w:rPr>
        <w:rFonts w:ascii="Arial" w:cs="Arial" w:eastAsia="Arial" w:hAnsi="Arial"/>
        <w:b/>
        <w:bCs/>
        <w:color w:val="5C92B8"/>
        <w:spacing w:val="30"/>
        <w:sz w:val="12"/>
        <w:szCs w:val="12"/>
      </w:rPr>
      <w:t xml:space="preserve">	BY TRUSTECH IT SUPPORT</w:t>
    </w:r>
  </w:p>
  <w:p>
    <w:pPr>
      <w:tabs>
        <w:tab w:val="right" w:pos="9360"/>
      </w:tabs>
      <w:spacing w:after="60"/>
    </w:pPr>
    <w:r>
      <w:rPr>
        <w:sz w:val="2"/>
        <w:szCs w:val="2"/>
      </w:rPr>
      <w:t xml:space="preserve"/>
    </w:r>
    <w:r>
      <w:rPr>
        <w:rFonts w:ascii="Arial" w:cs="Arial" w:eastAsia="Arial" w:hAnsi="Arial"/>
        <w:color w:val="5A5A5A"/>
        <w:sz w:val="13"/>
        <w:szCs w:val="13"/>
      </w:rPr>
      <w:t xml:space="preserve">	7, rue Montespan · 91000 Évry  ·  contact@trinexta.fr · 09 78 25 07 46 · www.trinexta.fr</w:t>
    </w:r>
  </w:p>
  <w:p>
    <w:pPr>
      <w:pBdr>
        <w:bottom w:val="single" w:color="5C92B8" w:sz="8"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5C92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2026-07-06T09:45:36.327Z</dcterms:created>
  <dcterms:modified xsi:type="dcterms:W3CDTF">2026-07-06T09:45:36.328Z</dcterms:modified>
</cp:coreProperties>
</file>

<file path=docProps/custom.xml><?xml version="1.0" encoding="utf-8"?>
<Properties xmlns="http://schemas.openxmlformats.org/officeDocument/2006/custom-properties" xmlns:vt="http://schemas.openxmlformats.org/officeDocument/2006/docPropsVTypes"/>
</file>