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Chain 1 — collection entity: what is derived from CCP booking data</w:t>
      </w:r>
    </w:p>
    <w:p>
      <w:pPr>
        <w:spacing w:after="60" w:before="120"/>
      </w:pPr>
      <w:r>
        <w:t xml:space="preserve">Built by Macro 4. Chain 1 models the first mile: </w:t>
      </w:r>
      <w:r>
        <w:rPr>
          <w:b/>
          <w:bCs/>
        </w:rPr>
        <w:t xml:space="preserve">pickup → round-0 sort → round-1 sort → terminate</w:t>
      </w:r>
      <w:r>
        <w:t xml:space="preserve">.</w:t>
      </w:r>
    </w:p>
    <w:p>
      <w:pPr>
        <w:spacing w:after="60" w:before="120"/>
      </w:pPr>
      <w:r>
        <w:rPr>
          <w:b/>
          <w:bCs/>
        </w:rPr>
        <w:t xml:space="preserve">Balance</w:t>
      </w:r>
    </w:p>
    <w:p>
      <w:pPr>
        <w:pStyle w:val="ListParagraph"/>
        <w:numPr>
          <w:ilvl w:val="0"/>
          <w:numId w:val="2"/>
        </w:numPr>
      </w:pPr>
      <w:r>
        <w:rPr>
          <w:b/>
          <w:bCs/>
        </w:rPr>
        <w:t xml:space="preserve">Pickup = Kept at depot + Vic Metro to Metro + PDO terminate + Interstate + Regional</w:t>
      </w:r>
      <w:r>
        <w:t xml:space="preserve">.</w:t>
      </w:r>
    </w:p>
    <w:p>
      <w:pPr>
        <w:pBdr>
          <w:bottom w:val="single" w:color="BFBFBF" w:sz="6" w:space="1"/>
        </w:pBdr>
      </w:pPr>
    </w:p>
    <w:p>
      <w:pPr>
        <w:pStyle w:val="Heading1"/>
      </w:pPr>
      <w:r>
        <w:t xml:space="preserve">1. Where each part of chain 1 comes from</w:t>
      </w:r>
    </w:p>
    <w:p>
      <w:pPr>
        <w:pStyle w:val="ListParagraph"/>
        <w:numPr>
          <w:ilvl w:val="0"/>
          <w:numId w:val="2"/>
        </w:numPr>
      </w:pPr>
      <w:r>
        <w:rPr>
          <w:b/>
          <w:bCs/>
        </w:rPr>
        <w:t xml:space="preserve">From CCP bookings:</w:t>
      </w:r>
    </w:p>
    <w:p>
      <w:pPr>
        <w:pStyle w:val="ListParagraph"/>
        <w:numPr>
          <w:ilvl w:val="1"/>
          <w:numId w:val="2"/>
        </w:numPr>
      </w:pPr>
      <w:r>
        <w:t xml:space="preserve">which stops are real pickups;</w:t>
      </w:r>
    </w:p>
    <w:p>
      <w:pPr>
        <w:pStyle w:val="ListParagraph"/>
        <w:numPr>
          <w:ilvl w:val="1"/>
          <w:numId w:val="2"/>
        </w:numPr>
      </w:pPr>
      <w:r>
        <w:t xml:space="preserve">where the pickups are;</w:t>
      </w:r>
    </w:p>
    <w:p>
      <w:pPr>
        <w:pStyle w:val="ListParagraph"/>
        <w:numPr>
          <w:ilvl w:val="1"/>
          <w:numId w:val="2"/>
        </w:numPr>
      </w:pPr>
      <w:r>
        <w:t xml:space="preserve">how each site's collection is divided into cells (the van rounds).</w:t>
      </w:r>
    </w:p>
    <w:p>
      <w:pPr>
        <w:pStyle w:val="ListParagraph"/>
        <w:numPr>
          <w:ilvl w:val="0"/>
          <w:numId w:val="2"/>
        </w:numPr>
      </w:pPr>
      <w:r>
        <w:rPr>
          <w:b/>
          <w:bCs/>
        </w:rPr>
        <w:t xml:space="preserve">Not from CCP</w:t>
      </w:r>
      <w:r>
        <w:t xml:space="preserve">, with the reasons:</w:t>
      </w:r>
    </w:p>
    <w:p>
      <w:pPr>
        <w:pStyle w:val="ListParagraph"/>
        <w:numPr>
          <w:ilvl w:val="1"/>
          <w:numId w:val="2"/>
        </w:numPr>
      </w:pPr>
      <w:r>
        <w:rPr>
          <w:b/>
          <w:bCs/>
        </w:rPr>
        <w:t xml:space="preserve">Volume level per site:</w:t>
      </w:r>
      <w:r>
        <w:t xml:space="preserve"> 2025 peak collection (</w:t>
      </w:r>
      <w:r>
        <w:rPr>
          <w:rFonts w:ascii="Consolas" w:cs="Consolas" w:eastAsia="Consolas" w:hAnsi="Consolas"/>
          <w:sz w:val="20"/>
          <w:szCs w:val="20"/>
        </w:rPr>
        <w:t xml:space="preserve">PEAK_2025_&lt;site&gt;</w:t>
      </w:r>
      <w:r>
        <w:t xml:space="preserve">, from the originating-volume scans) × </w:t>
      </w:r>
      <w:r>
        <w:rPr>
          <w:rFonts w:ascii="Consolas" w:cs="Consolas" w:eastAsia="Consolas" w:hAnsi="Consolas"/>
          <w:sz w:val="20"/>
          <w:szCs w:val="20"/>
        </w:rPr>
        <w:t xml:space="preserve">PEAK_FACTOR</w:t>
      </w:r>
      <w:r>
        <w:t xml:space="preserve"> 0.70. CCP is not used because it records collected volume at only 2 of the 7 sites, 0.9% of the model's volume.</w:t>
      </w:r>
    </w:p>
    <w:p>
      <w:pPr>
        <w:pStyle w:val="ListParagraph"/>
        <w:numPr>
          <w:ilvl w:val="1"/>
          <w:numId w:val="2"/>
        </w:numPr>
      </w:pPr>
      <w:r>
        <w:rPr>
          <w:b/>
          <w:bCs/>
        </w:rPr>
        <w:t xml:space="preserve">Vehicle:</w:t>
      </w:r>
      <w:r>
        <w:t xml:space="preserve"> </w:t>
      </w:r>
      <w:r>
        <w:rPr>
          <w:rFonts w:ascii="Consolas" w:cs="Consolas" w:eastAsia="Consolas" w:hAnsi="Consolas"/>
          <w:sz w:val="20"/>
          <w:szCs w:val="20"/>
        </w:rPr>
        <w:t xml:space="preserve">first_mile_pickup.csv</w:t>
      </w:r>
      <w:r>
        <w:t xml:space="preserve">. Transports use Truck, depots use Red_Van.</w:t>
      </w:r>
    </w:p>
    <w:p>
      <w:pPr>
        <w:pStyle w:val="ListParagraph"/>
        <w:numPr>
          <w:ilvl w:val="1"/>
          <w:numId w:val="2"/>
        </w:numPr>
      </w:pPr>
      <w:r>
        <w:rPr>
          <w:b/>
          <w:bCs/>
        </w:rPr>
        <w:t xml:space="preserve">Round-1 destination:</w:t>
      </w:r>
      <w:r>
        <w:t xml:space="preserve"> </w:t>
      </w:r>
      <w:r>
        <w:rPr>
          <w:rFonts w:ascii="Consolas" w:cs="Consolas" w:eastAsia="Consolas" w:hAnsi="Consolas"/>
          <w:sz w:val="20"/>
          <w:szCs w:val="20"/>
        </w:rPr>
        <w:t xml:space="preserve">first_mile_despatch.csv</w:t>
      </w:r>
      <w:r>
        <w:t xml:space="preserve">, the manager's operating split (e.g. Melbourne Transport MPF 50 / MNP 30 / BAY 20).</w:t>
      </w:r>
    </w:p>
    <w:p>
      <w:pPr>
        <w:pStyle w:val="ListParagraph"/>
        <w:numPr>
          <w:ilvl w:val="1"/>
          <w:numId w:val="2"/>
        </w:numPr>
      </w:pPr>
      <w:r>
        <w:rPr>
          <w:b/>
          <w:bCs/>
        </w:rPr>
        <w:t xml:space="preserve">Terminate volumes (sinks):</w:t>
      </w:r>
      <w:r>
        <w:t xml:space="preserve"> read from chain 2's </w:t>
      </w:r>
      <w:r>
        <w:rPr>
          <w:rFonts w:ascii="Consolas" w:cs="Consolas" w:eastAsia="Consolas" w:hAnsi="Consolas"/>
          <w:sz w:val="20"/>
          <w:szCs w:val="20"/>
        </w:rPr>
        <w:t xml:space="preserve">SupplierCapabilities</w:t>
      </w:r>
      <w:r>
        <w:t xml:space="preserve">.</w:t>
      </w:r>
    </w:p>
    <w:p>
      <w:pPr>
        <w:pStyle w:val="ListParagraph"/>
        <w:numPr>
          <w:ilvl w:val="1"/>
          <w:numId w:val="2"/>
        </w:numPr>
      </w:pPr>
      <w:r>
        <w:rPr>
          <w:b/>
          <w:bCs/>
        </w:rPr>
        <w:t xml:space="preserve">PP:EP split:</w:t>
      </w:r>
      <w:r>
        <w:t xml:space="preserve"> </w:t>
      </w:r>
      <w:r>
        <w:rPr>
          <w:rFonts w:ascii="Consolas" w:cs="Consolas" w:eastAsia="Consolas" w:hAnsi="Consolas"/>
          <w:sz w:val="20"/>
          <w:szCs w:val="20"/>
        </w:rPr>
        <w:t xml:space="preserve">PP_SHARE</w:t>
      </w:r>
      <w:r>
        <w:t xml:space="preserve"> 0.90.</w:t>
      </w:r>
    </w:p>
    <w:p>
      <w:pPr>
        <w:pBdr>
          <w:bottom w:val="single" w:color="BFBFBF" w:sz="6" w:space="1"/>
        </w:pBdr>
      </w:pPr>
    </w:p>
    <w:p>
      <w:pPr>
        <w:pStyle w:val="Heading1"/>
      </w:pPr>
      <w:r>
        <w:t xml:space="preserve">2. The CCP extract</w:t>
      </w:r>
    </w:p>
    <w:p>
      <w:pPr>
        <w:pStyle w:val="ListParagraph"/>
        <w:numPr>
          <w:ilvl w:val="0"/>
          <w:numId w:val="2"/>
        </w:numPr>
      </w:pPr>
      <w:r>
        <w:rPr>
          <w:rFonts w:ascii="Consolas" w:cs="Consolas" w:eastAsia="Consolas" w:hAnsi="Consolas"/>
          <w:sz w:val="20"/>
          <w:szCs w:val="20"/>
        </w:rPr>
        <w:t xml:space="preserve">inputs/red_vans_inputs/CCP-18-05_to_25-05.csv</w:t>
      </w:r>
      <w:r>
        <w:t xml:space="preserve">: one row per booked job, with location, location type (Customer / Network), address, facility, booking type, route, planned time, booking comments and measures.</w:t>
      </w:r>
    </w:p>
    <w:p>
      <w:pPr>
        <w:pStyle w:val="ListParagraph"/>
        <w:numPr>
          <w:ilvl w:val="0"/>
          <w:numId w:val="2"/>
        </w:numPr>
      </w:pPr>
      <w:r>
        <w:rPr>
          <w:b/>
          <w:bCs/>
        </w:rPr>
        <w:t xml:space="preserve">Window:</w:t>
      </w:r>
      <w:r>
        <w:t xml:space="preserve"> Mon–Fri 18–22 May 2026, one clean week.</w:t>
      </w:r>
    </w:p>
    <w:p>
      <w:pPr>
        <w:pStyle w:val="ListParagraph"/>
        <w:numPr>
          <w:ilvl w:val="1"/>
          <w:numId w:val="2"/>
        </w:numPr>
      </w:pPr>
      <w:r>
        <w:t xml:space="preserve">Out: Saturday (895 jobs), 25 May (so no Monday counts twice) and 26 May.</w:t>
      </w:r>
    </w:p>
    <w:p>
      <w:pPr>
        <w:pStyle w:val="ListParagraph"/>
        <w:numPr>
          <w:ilvl w:val="0"/>
          <w:numId w:val="2"/>
        </w:numPr>
      </w:pPr>
      <w:r>
        <w:rPr>
          <w:b/>
          <w:bCs/>
        </w:rPr>
        <w:t xml:space="preserve">Seven collecting sites:</w:t>
      </w:r>
    </w:p>
    <w:p>
      <w:pPr>
        <w:pStyle w:val="ListParagraph"/>
        <w:numPr>
          <w:ilvl w:val="1"/>
          <w:numId w:val="2"/>
        </w:numPr>
      </w:pPr>
      <w:r>
        <w:t xml:space="preserve">five red-van depots: Sunshine West, Oakleigh South, Melbourne North, Bayswater, Dandenong South;</w:t>
      </w:r>
    </w:p>
    <w:p>
      <w:pPr>
        <w:pStyle w:val="ListParagraph"/>
        <w:numPr>
          <w:ilvl w:val="1"/>
          <w:numId w:val="2"/>
        </w:numPr>
      </w:pPr>
      <w:r>
        <w:t xml:space="preserve">two transports: Melbourne Transport, Dandenong Transport Facility.</w:t>
      </w:r>
    </w:p>
    <w:p>
      <w:pPr>
        <w:pBdr>
          <w:bottom w:val="single" w:color="BFBFBF" w:sz="6" w:space="1"/>
        </w:pBdr>
      </w:pPr>
    </w:p>
    <w:p>
      <w:pPr>
        <w:pStyle w:val="Heading1"/>
      </w:pPr>
      <w:r>
        <w:t xml:space="preserve">3. Which bookings count as a pickup</w:t>
      </w:r>
    </w:p>
    <w:p>
      <w:pPr>
        <w:pStyle w:val="ListParagraph"/>
        <w:numPr>
          <w:ilvl w:val="0"/>
          <w:numId w:val="3"/>
        </w:numPr>
      </w:pPr>
      <w:r>
        <w:rPr>
          <w:b/>
          <w:bCs/>
        </w:rPr>
        <w:t xml:space="preserve">Booking type</w:t>
      </w:r>
      <w:r>
        <w:t xml:space="preserve"> is </w:t>
      </w:r>
      <w:r>
        <w:rPr>
          <w:rFonts w:ascii="Consolas" w:cs="Consolas" w:eastAsia="Consolas" w:hAnsi="Consolas"/>
          <w:sz w:val="20"/>
          <w:szCs w:val="20"/>
        </w:rPr>
        <w:t xml:space="preserve">Pickup</w:t>
      </w:r>
      <w:r>
        <w:t xml:space="preserve"> or </w:t>
      </w:r>
      <w:r>
        <w:rPr>
          <w:rFonts w:ascii="Consolas" w:cs="Consolas" w:eastAsia="Consolas" w:hAnsi="Consolas"/>
          <w:sz w:val="20"/>
          <w:szCs w:val="20"/>
        </w:rPr>
        <w:t xml:space="preserve">Pickup &amp; Delivery</w:t>
      </w:r>
      <w:r>
        <w:t xml:space="preserve">. Delivery-only jobs are out.</w:t>
      </w:r>
    </w:p>
    <w:p>
      <w:pPr>
        <w:pStyle w:val="ListParagraph"/>
        <w:numPr>
          <w:ilvl w:val="0"/>
          <w:numId w:val="3"/>
        </w:numPr>
      </w:pPr>
      <w:r>
        <w:rPr>
          <w:b/>
          <w:bCs/>
        </w:rPr>
        <w:t xml:space="preserve">Own buildings are out.</w:t>
      </w:r>
      <w:r>
        <w:t xml:space="preserve"> The test runs only on </w:t>
      </w:r>
      <w:r>
        <w:rPr>
          <w:rFonts w:ascii="Consolas" w:cs="Consolas" w:eastAsia="Consolas" w:hAnsi="Consolas"/>
          <w:sz w:val="20"/>
          <w:szCs w:val="20"/>
        </w:rPr>
        <w:t xml:space="preserve">Location Type = Network</w:t>
      </w:r>
      <w:r>
        <w:t xml:space="preserve">, because the same words match real customers, e.g. "Chemist Warehouse (Chadstone DC)".</w:t>
      </w:r>
    </w:p>
    <w:p>
      <w:pPr>
        <w:pStyle w:val="ListParagraph"/>
        <w:numPr>
          <w:ilvl w:val="1"/>
          <w:numId w:val="2"/>
        </w:numPr>
      </w:pPr>
      <w:r>
        <w:t xml:space="preserve">Out: PDCs (including the van's own base), hubs, transport facilities, StarTrack and gateways.</w:t>
      </w:r>
    </w:p>
    <w:p>
      <w:pPr>
        <w:pStyle w:val="ListParagraph"/>
        <w:numPr>
          <w:ilvl w:val="1"/>
          <w:numId w:val="2"/>
        </w:numPr>
      </w:pPr>
      <w:r>
        <w:t xml:space="preserve">These stops move freight already inside our network, so they are not new collection.</w:t>
      </w:r>
    </w:p>
    <w:p>
      <w:pPr>
        <w:pStyle w:val="ListParagraph"/>
        <w:numPr>
          <w:ilvl w:val="0"/>
          <w:numId w:val="3"/>
        </w:numPr>
      </w:pPr>
      <w:r>
        <w:rPr>
          <w:b/>
          <w:bCs/>
        </w:rPr>
        <w:t xml:space="preserve">Red vans: delivery centres count</w:t>
      </w:r>
      <w:r>
        <w:t xml:space="preserve"> (rule change 2026-09-24). A red-van pickup at a DC / MDC, e.g. Moorabbin DC – Vans, is a pickup point, adding 1,402 stops a week.</w:t>
      </w:r>
    </w:p>
    <w:p>
      <w:pPr>
        <w:pStyle w:val="ListParagraph"/>
        <w:numPr>
          <w:ilvl w:val="0"/>
          <w:numId w:val="3"/>
        </w:numPr>
      </w:pPr>
      <w:r>
        <w:rPr>
          <w:b/>
          <w:bCs/>
        </w:rPr>
        <w:t xml:space="preserve">Transports: customers and lodgement points only.</w:t>
      </w:r>
    </w:p>
    <w:p>
      <w:pPr>
        <w:pStyle w:val="ListParagraph"/>
        <w:numPr>
          <w:ilvl w:val="1"/>
          <w:numId w:val="2"/>
        </w:numPr>
      </w:pPr>
      <w:r>
        <w:t xml:space="preserve">Kept: post offices, retail outlets, lockers and street posting boxes.</w:t>
      </w:r>
    </w:p>
    <w:p>
      <w:pPr>
        <w:pStyle w:val="ListParagraph"/>
        <w:numPr>
          <w:ilvl w:val="1"/>
          <w:numId w:val="2"/>
        </w:numPr>
      </w:pPr>
      <w:r>
        <w:t xml:space="preserve">Out: other Network stops. Their comments name a destination building ("Collect all for Mulgrave PDC"), so they are linehaul, not collection.</w:t>
      </w:r>
    </w:p>
    <w:p>
      <w:pPr>
        <w:pStyle w:val="ListParagraph"/>
        <w:numPr>
          <w:ilvl w:val="0"/>
          <w:numId w:val="3"/>
        </w:numPr>
      </w:pPr>
      <w:r>
        <w:rPr>
          <w:b/>
          <w:bCs/>
        </w:rPr>
        <w:t xml:space="preserve">Postcode cells with no real pickup are dropped:</w:t>
      </w:r>
    </w:p>
    <w:p>
      <w:pPr>
        <w:pStyle w:val="ListParagraph"/>
        <w:numPr>
          <w:ilvl w:val="1"/>
          <w:numId w:val="2"/>
        </w:numPr>
      </w:pPr>
      <w:r>
        <w:t xml:space="preserve">cells that only ever had delivery bookings;</w:t>
      </w:r>
    </w:p>
    <w:p>
      <w:pPr>
        <w:pStyle w:val="ListParagraph"/>
        <w:numPr>
          <w:ilvl w:val="1"/>
          <w:numId w:val="2"/>
        </w:numPr>
      </w:pPr>
      <w:r>
        <w:t xml:space="preserve">cells whose only visits are to another site's hub dock (2 remain: Oakleigh South 3175 and 3045).</w:t>
      </w:r>
    </w:p>
    <w:p>
      <w:pPr>
        <w:spacing w:after="60" w:before="120"/>
      </w:pPr>
      <w:r>
        <w:rPr>
          <w:b/>
          <w:bCs/>
        </w:rPr>
        <w:t xml:space="preserve">Result</w:t>
      </w:r>
    </w:p>
    <w:p>
      <w:pPr>
        <w:pStyle w:val="ListParagraph"/>
        <w:numPr>
          <w:ilvl w:val="0"/>
          <w:numId w:val="2"/>
        </w:numPr>
      </w:pPr>
      <w:r>
        <w:t xml:space="preserve">42,022 pickup stops a week at 6,825 addresses (</w:t>
      </w:r>
      <w:r>
        <w:rPr>
          <w:rFonts w:ascii="Consolas" w:cs="Consolas" w:eastAsia="Consolas" w:hAnsi="Consolas"/>
          <w:sz w:val="20"/>
          <w:szCs w:val="20"/>
        </w:rPr>
        <w:t xml:space="preserve">outputs/pickup_points.csv</w:t>
      </w:r>
      <w:r>
        <w:t xml:space="preserve">).</w:t>
      </w:r>
    </w:p>
    <w:p>
      <w:pPr>
        <w:pStyle w:val="ListParagraph"/>
        <w:numPr>
          <w:ilvl w:val="0"/>
          <w:numId w:val="2"/>
        </w:numPr>
      </w:pPr>
      <w:r>
        <w:t xml:space="preserve">Each address has its coordinate (</w:t>
      </w:r>
      <w:r>
        <w:rPr>
          <w:rFonts w:ascii="Consolas" w:cs="Consolas" w:eastAsia="Consolas" w:hAnsi="Consolas"/>
          <w:sz w:val="20"/>
          <w:szCs w:val="20"/>
        </w:rPr>
        <w:t xml:space="preserve">geocoding_result.csv</w:t>
      </w:r>
      <w:r>
        <w:t xml:space="preserve">) and the vehicle that calls there.</w:t>
      </w:r>
    </w:p>
    <w:p>
      <w:pPr>
        <w:pStyle w:val="ListParagraph"/>
        <w:numPr>
          <w:ilvl w:val="0"/>
          <w:numId w:val="2"/>
        </w:numPr>
      </w:pPr>
      <w:r>
        <w:t xml:space="preserve">One geocode is wrong (Sandhurst SC, Cranbourne West, placed in Johannesburg). It is flagged </w:t>
      </w:r>
      <w:r>
        <w:rPr>
          <w:rFonts w:ascii="Consolas" w:cs="Consolas" w:eastAsia="Consolas" w:hAnsi="Consolas"/>
          <w:sz w:val="20"/>
          <w:szCs w:val="20"/>
        </w:rPr>
        <w:t xml:space="preserve">in_victoria = False</w:t>
      </w:r>
      <w:r>
        <w:t xml:space="preserve">, not dropped.</w:t>
      </w:r>
    </w:p>
    <w:p>
      <w:pPr>
        <w:pBdr>
          <w:bottom w:val="single" w:color="BFBFBF" w:sz="6" w:space="1"/>
        </w:pBdr>
      </w:pPr>
    </w:p>
    <w:p>
      <w:pPr>
        <w:pStyle w:val="Heading1"/>
      </w:pPr>
      <w:r>
        <w:t xml:space="preserve">4. From pickup stops to model cells</w:t>
      </w:r>
    </w:p>
    <w:p>
      <w:pPr>
        <w:spacing w:after="60" w:before="120"/>
      </w:pPr>
      <w:r>
        <w:rPr>
          <w:b/>
          <w:bCs/>
        </w:rPr>
        <w:t xml:space="preserve">Step 1: per-stop file for one day</w:t>
      </w:r>
    </w:p>
    <w:p>
      <w:pPr>
        <w:pStyle w:val="ListParagraph"/>
        <w:numPr>
          <w:ilvl w:val="0"/>
          <w:numId w:val="2"/>
        </w:numPr>
      </w:pPr>
      <w:r>
        <w:rPr>
          <w:rFonts w:ascii="Consolas" w:cs="Consolas" w:eastAsia="Consolas" w:hAnsi="Consolas"/>
          <w:sz w:val="20"/>
          <w:szCs w:val="20"/>
        </w:rPr>
        <w:t xml:space="preserve">utilities/pickup_points.py --per-stop --day 2026-05-18</w:t>
      </w:r>
      <w:r>
        <w:t xml:space="preserve"> writes one row per collection: warehouse (site) → pickup address, and vehicle (</w:t>
      </w:r>
      <w:r>
        <w:rPr>
          <w:rFonts w:ascii="Consolas" w:cs="Consolas" w:eastAsia="Consolas" w:hAnsi="Consolas"/>
          <w:sz w:val="20"/>
          <w:szCs w:val="20"/>
        </w:rPr>
        <w:t xml:space="preserve">red_van</w:t>
      </w:r>
      <w:r>
        <w:t xml:space="preserve"> / </w:t>
      </w:r>
      <w:r>
        <w:rPr>
          <w:rFonts w:ascii="Consolas" w:cs="Consolas" w:eastAsia="Consolas" w:hAnsi="Consolas"/>
          <w:sz w:val="20"/>
          <w:szCs w:val="20"/>
        </w:rPr>
        <w:t xml:space="preserve">white_van</w:t>
      </w:r>
      <w:r>
        <w:t xml:space="preserve">).</w:t>
      </w:r>
    </w:p>
    <w:p>
      <w:pPr>
        <w:spacing w:after="60" w:before="120"/>
      </w:pPr>
      <w:r>
        <w:rPr>
          <w:b/>
          <w:bCs/>
        </w:rPr>
        <w:t xml:space="preserve">Step 2: first-mile routing run</w:t>
      </w:r>
    </w:p>
    <w:p>
      <w:pPr>
        <w:pStyle w:val="ListParagraph"/>
        <w:numPr>
          <w:ilvl w:val="0"/>
          <w:numId w:val="2"/>
        </w:numPr>
      </w:pPr>
      <w:r>
        <w:t xml:space="preserve">Run </w:t>
      </w:r>
      <w:r>
        <w:rPr>
          <w:rFonts w:ascii="Consolas" w:cs="Consolas" w:eastAsia="Consolas" w:hAnsi="Consolas"/>
          <w:sz w:val="20"/>
          <w:szCs w:val="20"/>
        </w:rPr>
        <w:t xml:space="preserve">first_mile_pickup_v4</w:t>
      </w:r>
      <w:r>
        <w:t xml:space="preserve"> (OSRM road distances).</w:t>
      </w:r>
    </w:p>
    <w:p>
      <w:pPr>
        <w:pStyle w:val="ListParagraph"/>
        <w:numPr>
          <w:ilvl w:val="0"/>
          <w:numId w:val="2"/>
        </w:numPr>
      </w:pPr>
      <w:r>
        <w:t xml:space="preserve">Vehicle settings:</w:t>
      </w:r>
    </w:p>
    <w:p>
      <w:pPr>
        <w:pStyle w:val="ListParagraph"/>
        <w:numPr>
          <w:ilvl w:val="1"/>
          <w:numId w:val="2"/>
        </w:numPr>
      </w:pPr>
      <w:r>
        <w:t xml:space="preserve">red_van: 200 parcels, target 25 stops;</w:t>
      </w:r>
    </w:p>
    <w:p>
      <w:pPr>
        <w:pStyle w:val="ListParagraph"/>
        <w:numPr>
          <w:ilvl w:val="1"/>
          <w:numId w:val="2"/>
        </w:numPr>
      </w:pPr>
      <w:r>
        <w:t xml:space="preserve">white_van: 180 parcels, target 10 stops.</w:t>
      </w:r>
    </w:p>
    <w:p>
      <w:pPr>
        <w:pStyle w:val="ListParagraph"/>
        <w:numPr>
          <w:ilvl w:val="0"/>
          <w:numId w:val="2"/>
        </w:numPr>
      </w:pPr>
      <w:r>
        <w:t xml:space="preserve">It groups each site's stops into </w:t>
      </w:r>
      <w:r>
        <w:rPr>
          <w:b/>
          <w:bCs/>
        </w:rPr>
        <w:t xml:space="preserve">van rounds (clusters)</w:t>
      </w:r>
      <w:r>
        <w:t xml:space="preserve"> and writes:</w:t>
      </w:r>
    </w:p>
    <w:p>
      <w:pPr>
        <w:pStyle w:val="ListParagraph"/>
        <w:numPr>
          <w:ilvl w:val="1"/>
          <w:numId w:val="2"/>
        </w:numPr>
      </w:pPr>
      <w:r>
        <w:rPr>
          <w:rFonts w:ascii="Consolas" w:cs="Consolas" w:eastAsia="Consolas" w:hAnsi="Consolas"/>
          <w:sz w:val="20"/>
          <w:szCs w:val="20"/>
        </w:rPr>
        <w:t xml:space="preserve">cluster_summary.csv</w:t>
      </w:r>
      <w:r>
        <w:t xml:space="preserve">: one row per cluster, with its centroid;</w:t>
      </w:r>
    </w:p>
    <w:p>
      <w:pPr>
        <w:pStyle w:val="ListParagraph"/>
        <w:numPr>
          <w:ilvl w:val="1"/>
          <w:numId w:val="2"/>
        </w:numPr>
      </w:pPr>
      <w:r>
        <w:rPr>
          <w:rFonts w:ascii="Consolas" w:cs="Consolas" w:eastAsia="Consolas" w:hAnsi="Consolas"/>
          <w:sz w:val="20"/>
          <w:szCs w:val="20"/>
        </w:rPr>
        <w:t xml:space="preserve">temp_clustered.csv</w:t>
      </w:r>
      <w:r>
        <w:t xml:space="preserve">: one row per stop, with its cluster and site.</w:t>
      </w:r>
    </w:p>
    <w:p>
      <w:pPr>
        <w:pStyle w:val="ListParagraph"/>
        <w:numPr>
          <w:ilvl w:val="0"/>
          <w:numId w:val="2"/>
        </w:numPr>
      </w:pPr>
      <w:r>
        <w:t xml:space="preserve">These files are saved in </w:t>
      </w:r>
      <w:r>
        <w:rPr>
          <w:rFonts w:ascii="Consolas" w:cs="Consolas" w:eastAsia="Consolas" w:hAnsi="Consolas"/>
          <w:sz w:val="20"/>
          <w:szCs w:val="20"/>
        </w:rPr>
        <w:t xml:space="preserve">inputs/pick_up_cluster/</w:t>
      </w:r>
      <w:r>
        <w:t xml:space="preserve">.</w:t>
      </w:r>
    </w:p>
    <w:p>
      <w:pPr>
        <w:spacing w:after="60" w:before="120"/>
      </w:pPr>
      <w:r>
        <w:rPr>
          <w:b/>
          <w:bCs/>
        </w:rPr>
        <w:t xml:space="preserve">Step 3: chain 1 reads the clusters (</w:t>
      </w:r>
      <w:r>
        <w:rPr>
          <w:rFonts w:ascii="Consolas" w:cs="Consolas" w:eastAsia="Consolas" w:hAnsi="Consolas"/>
          <w:b/>
          <w:bCs/>
          <w:sz w:val="20"/>
          <w:szCs w:val="20"/>
        </w:rPr>
        <w:t xml:space="preserve">PICKUP_CLUSTERS = pick_up_cluster</w:t>
      </w:r>
      <w:r>
        <w:rPr>
          <w:b/>
          <w:bCs/>
        </w:rPr>
        <w:t xml:space="preserve">)</w:t>
      </w:r>
    </w:p>
    <w:p>
      <w:pPr>
        <w:pStyle w:val="ListParagraph"/>
        <w:numPr>
          <w:ilvl w:val="0"/>
          <w:numId w:val="2"/>
        </w:numPr>
      </w:pPr>
      <w:r>
        <w:t xml:space="preserve">One cluster becomes one supplier, </w:t>
      </w:r>
      <w:r>
        <w:rPr>
          <w:rFonts w:ascii="Consolas" w:cs="Consolas" w:eastAsia="Consolas" w:hAnsi="Consolas"/>
          <w:sz w:val="20"/>
          <w:szCs w:val="20"/>
        </w:rPr>
        <w:t xml:space="preserve">SUP_PKP_&lt;site&gt;_C&lt;k&gt;</w:t>
      </w:r>
      <w:r>
        <w:t xml:space="preserve">, at the cluster centroid.</w:t>
      </w:r>
    </w:p>
    <w:p>
      <w:pPr>
        <w:pStyle w:val="ListParagraph"/>
        <w:numPr>
          <w:ilvl w:val="0"/>
          <w:numId w:val="2"/>
        </w:numPr>
      </w:pPr>
      <w:r>
        <w:rPr>
          <w:b/>
          <w:bCs/>
        </w:rPr>
        <w:t xml:space="preserve">402 cells:</w:t>
      </w:r>
    </w:p>
    <w:p>
      <w:pPr>
        <w:pStyle w:val="ListParagraph"/>
        <w:numPr>
          <w:ilvl w:val="1"/>
          <w:numId w:val="2"/>
        </w:numPr>
      </w:pPr>
      <w:r>
        <w:t xml:space="preserve">Oakleigh South 100</w:t>
      </w:r>
    </w:p>
    <w:p>
      <w:pPr>
        <w:pStyle w:val="ListParagraph"/>
        <w:numPr>
          <w:ilvl w:val="1"/>
          <w:numId w:val="2"/>
        </w:numPr>
      </w:pPr>
      <w:r>
        <w:t xml:space="preserve">Sunshine West 81</w:t>
      </w:r>
    </w:p>
    <w:p>
      <w:pPr>
        <w:pStyle w:val="ListParagraph"/>
        <w:numPr>
          <w:ilvl w:val="1"/>
          <w:numId w:val="2"/>
        </w:numPr>
      </w:pPr>
      <w:r>
        <w:t xml:space="preserve">Bayswater 68</w:t>
      </w:r>
    </w:p>
    <w:p>
      <w:pPr>
        <w:pStyle w:val="ListParagraph"/>
        <w:numPr>
          <w:ilvl w:val="1"/>
          <w:numId w:val="2"/>
        </w:numPr>
      </w:pPr>
      <w:r>
        <w:t xml:space="preserve">Melbourne North 49</w:t>
      </w:r>
    </w:p>
    <w:p>
      <w:pPr>
        <w:pStyle w:val="ListParagraph"/>
        <w:numPr>
          <w:ilvl w:val="1"/>
          <w:numId w:val="2"/>
        </w:numPr>
      </w:pPr>
      <w:r>
        <w:t xml:space="preserve">Dandenong South 44</w:t>
      </w:r>
    </w:p>
    <w:p>
      <w:pPr>
        <w:pStyle w:val="ListParagraph"/>
        <w:numPr>
          <w:ilvl w:val="1"/>
          <w:numId w:val="2"/>
        </w:numPr>
      </w:pPr>
      <w:r>
        <w:t xml:space="preserve">Melbourne Transport 38</w:t>
      </w:r>
    </w:p>
    <w:p>
      <w:pPr>
        <w:pStyle w:val="ListParagraph"/>
        <w:numPr>
          <w:ilvl w:val="1"/>
          <w:numId w:val="2"/>
        </w:numPr>
      </w:pPr>
      <w:r>
        <w:t xml:space="preserve">Dandenong Transport 22</w:t>
      </w:r>
    </w:p>
    <w:p>
      <w:pPr>
        <w:pStyle w:val="ListParagraph"/>
        <w:numPr>
          <w:ilvl w:val="0"/>
          <w:numId w:val="2"/>
        </w:numPr>
      </w:pPr>
      <w:r>
        <w:t xml:space="preserve">Each site's volume is split </w:t>
      </w:r>
      <w:r>
        <w:rPr>
          <w:b/>
          <w:bCs/>
        </w:rPr>
        <w:t xml:space="preserve">equally</w:t>
      </w:r>
      <w:r>
        <w:t xml:space="preserve"> across its clusters. A cluster carries no measured volume of its own.</w:t>
      </w:r>
    </w:p>
    <w:p>
      <w:pPr>
        <w:pStyle w:val="ListParagraph"/>
        <w:numPr>
          <w:ilvl w:val="0"/>
          <w:numId w:val="2"/>
        </w:numPr>
      </w:pPr>
      <w:r>
        <w:t xml:space="preserve">Leg-1 distance is the haversine distance from cluster centroid to collecting site. The mean is 16.0 km, against 22.1 km on postcode centroids.</w:t>
      </w:r>
    </w:p>
    <w:p>
      <w:pPr>
        <w:pBdr>
          <w:bottom w:val="single" w:color="BFBFBF" w:sz="6" w:space="1"/>
        </w:pBdr>
      </w:pPr>
    </w:p>
    <w:p>
      <w:pPr>
        <w:pStyle w:val="Heading1"/>
      </w:pPr>
      <w:r>
        <w:t xml:space="preserve">5. Alternative basis, built but not switched on</w:t>
      </w:r>
    </w:p>
    <w:p>
      <w:pPr>
        <w:spacing w:after="60" w:before="120"/>
      </w:pPr>
      <w:r>
        <w:rPr>
          <w:b/>
          <w:bCs/>
        </w:rPr>
        <w:t xml:space="preserve">Postcode weights (</w:t>
      </w:r>
      <w:r>
        <w:rPr>
          <w:rFonts w:ascii="Consolas" w:cs="Consolas" w:eastAsia="Consolas" w:hAnsi="Consolas"/>
          <w:b/>
          <w:bCs/>
          <w:sz w:val="20"/>
          <w:szCs w:val="20"/>
        </w:rPr>
        <w:t xml:space="preserve">PICKUP_WEIGHTS</w:t>
      </w:r>
      <w:r>
        <w:rPr>
          <w:b/>
          <w:bCs/>
        </w:rPr>
        <w:t xml:space="preserve">, </w:t>
      </w:r>
      <w:r>
        <w:rPr>
          <w:rFonts w:ascii="Consolas" w:cs="Consolas" w:eastAsia="Consolas" w:hAnsi="Consolas"/>
          <w:b/>
          <w:bCs/>
          <w:sz w:val="20"/>
          <w:szCs w:val="20"/>
        </w:rPr>
        <w:t xml:space="preserve">utilities/catchment_visit_weights.py</w:t>
      </w:r>
      <w:r>
        <w:rPr>
          <w:b/>
          <w:bCs/>
        </w:rPr>
        <w:t xml:space="preserve">)</w:t>
      </w:r>
    </w:p>
    <w:p>
      <w:pPr>
        <w:pStyle w:val="ListParagraph"/>
        <w:numPr>
          <w:ilvl w:val="0"/>
          <w:numId w:val="2"/>
        </w:numPr>
      </w:pPr>
      <w:r>
        <w:t xml:space="preserve">Share of stop-events per (site, postcode) over the week, using the same filter rules as section 3.</w:t>
      </w:r>
    </w:p>
    <w:p>
      <w:pPr>
        <w:pStyle w:val="ListParagraph"/>
        <w:numPr>
          <w:ilvl w:val="0"/>
          <w:numId w:val="2"/>
        </w:numPr>
      </w:pPr>
      <w:r>
        <w:t xml:space="preserve">Stop-events are the best predictor of collected volume where CCP records it: r = 0.998 at Dandenong Transport and 0.988 at Melbourne Transport.</w:t>
      </w:r>
    </w:p>
    <w:p>
      <w:pPr>
        <w:pStyle w:val="ListParagraph"/>
        <w:numPr>
          <w:ilvl w:val="0"/>
          <w:numId w:val="2"/>
        </w:numPr>
      </w:pPr>
      <w:r>
        <w:t xml:space="preserve">The weights replace the equal split across a site's </w:t>
      </w:r>
      <w:r>
        <w:rPr>
          <w:b/>
          <w:bCs/>
        </w:rPr>
        <w:t xml:space="preserve">postcodes</w:t>
      </w:r>
      <w:r>
        <w:t xml:space="preserve">.</w:t>
      </w:r>
    </w:p>
    <w:p>
      <w:pPr>
        <w:pStyle w:val="ListParagraph"/>
        <w:numPr>
          <w:ilvl w:val="0"/>
          <w:numId w:val="2"/>
        </w:numPr>
      </w:pPr>
      <w:r>
        <w:t xml:space="preserve">This is shape only: the site total stays at </w:t>
      </w:r>
      <w:r>
        <w:rPr>
          <w:rFonts w:ascii="Consolas" w:cs="Consolas" w:eastAsia="Consolas" w:hAnsi="Consolas"/>
          <w:sz w:val="20"/>
          <w:szCs w:val="20"/>
        </w:rPr>
        <w:t xml:space="preserve">PEAK_2025</w:t>
      </w:r>
      <w:r>
        <w:t xml:space="preserve"> × </w:t>
      </w:r>
      <w:r>
        <w:rPr>
          <w:rFonts w:ascii="Consolas" w:cs="Consolas" w:eastAsia="Consolas" w:hAnsi="Consolas"/>
          <w:sz w:val="20"/>
          <w:szCs w:val="20"/>
        </w:rPr>
        <w:t xml:space="preserve">PEAK_FACTOR</w:t>
      </w:r>
      <w:r>
        <w:t xml:space="preserve">.</w:t>
      </w:r>
    </w:p>
    <w:p>
      <w:pPr>
        <w:pStyle w:val="ListParagraph"/>
        <w:numPr>
          <w:ilvl w:val="0"/>
          <w:numId w:val="2"/>
        </w:numPr>
      </w:pPr>
      <w:r>
        <w:t xml:space="preserve">It cannot run together with </w:t>
      </w:r>
      <w:r>
        <w:rPr>
          <w:rFonts w:ascii="Consolas" w:cs="Consolas" w:eastAsia="Consolas" w:hAnsi="Consolas"/>
          <w:sz w:val="20"/>
          <w:szCs w:val="20"/>
        </w:rPr>
        <w:t xml:space="preserve">PICKUP_CLUSTERS</w:t>
      </w:r>
      <w:r>
        <w:t xml:space="preserve">. It is </w:t>
      </w:r>
      <w:r>
        <w:rPr>
          <w:rFonts w:ascii="Consolas" w:cs="Consolas" w:eastAsia="Consolas" w:hAnsi="Consolas"/>
          <w:sz w:val="20"/>
          <w:szCs w:val="20"/>
        </w:rPr>
        <w:t xml:space="preserve">none</w:t>
      </w:r>
      <w:r>
        <w:t xml:space="preserve"> today.</w:t>
      </w:r>
    </w:p>
    <w:p>
      <w:pPr>
        <w:pBdr>
          <w:bottom w:val="single" w:color="BFBFBF" w:sz="6" w:space="1"/>
        </w:pBdr>
      </w:pPr>
    </w:p>
    <w:p>
      <w:pPr>
        <w:pStyle w:val="Heading1"/>
      </w:pPr>
      <w:r>
        <w:t xml:space="preserve">6. Measured from CCP but not in the model yet</w:t>
      </w:r>
    </w:p>
    <w:p>
      <w:pPr>
        <w:spacing w:after="60" w:before="120"/>
      </w:pPr>
      <w:r>
        <w:rPr>
          <w:b/>
          <w:bCs/>
        </w:rPr>
        <w:t xml:space="preserve">Transport despatch (</w:t>
      </w:r>
      <w:r>
        <w:rPr>
          <w:rFonts w:ascii="Consolas" w:cs="Consolas" w:eastAsia="Consolas" w:hAnsi="Consolas"/>
          <w:b/>
          <w:bCs/>
          <w:sz w:val="20"/>
          <w:szCs w:val="20"/>
        </w:rPr>
        <w:t xml:space="preserve">utilities/transport_middle_mile.py</w:t>
      </w:r>
      <w:r>
        <w:rPr>
          <w:b/>
          <w:bCs/>
        </w:rPr>
        <w:t xml:space="preserve">)</w:t>
      </w:r>
    </w:p>
    <w:p>
      <w:pPr>
        <w:pStyle w:val="ListParagraph"/>
        <w:numPr>
          <w:ilvl w:val="0"/>
          <w:numId w:val="2"/>
        </w:numPr>
      </w:pPr>
      <w:r>
        <w:t xml:space="preserve">Each transport pickup is paired with the next delivery on the same route, in planned-time order.</w:t>
      </w:r>
    </w:p>
    <w:p>
      <w:pPr>
        <w:pStyle w:val="ListParagraph"/>
        <w:numPr>
          <w:ilvl w:val="0"/>
          <w:numId w:val="2"/>
        </w:numPr>
      </w:pPr>
      <w:r>
        <w:rPr>
          <w:b/>
          <w:bCs/>
        </w:rPr>
        <w:t xml:space="preserve">Customer pickup → next drop, stop counts:</w:t>
      </w:r>
    </w:p>
    <w:p>
      <w:pPr>
        <w:pStyle w:val="ListParagraph"/>
        <w:numPr>
          <w:ilvl w:val="1"/>
          <w:numId w:val="2"/>
        </w:numPr>
      </w:pPr>
      <w:r>
        <w:t xml:space="preserve">Melbourne Transport: MPF 42 / SWP 17 / TPF 16 / MNP 15 / BAY ~0 (assumed: MPF 50 / MNP 30 / BAY 20).</w:t>
      </w:r>
    </w:p>
    <w:p>
      <w:pPr>
        <w:pStyle w:val="ListParagraph"/>
        <w:numPr>
          <w:ilvl w:val="1"/>
          <w:numId w:val="2"/>
        </w:numPr>
      </w:pPr>
      <w:r>
        <w:t xml:space="preserve">Dandenong Transport: BAY 40 / DLC 38 / OAK 12 / TPF 6 / MPF ~0 (assumed: MPF 80 / BAY 20).</w:t>
      </w:r>
    </w:p>
    <w:p>
      <w:pPr>
        <w:pStyle w:val="ListParagraph"/>
        <w:numPr>
          <w:ilvl w:val="0"/>
          <w:numId w:val="2"/>
        </w:numPr>
      </w:pPr>
      <w:r>
        <w:t xml:space="preserve">These are stop counts, not volume. "Next delivery" misses freight left on board for a later drop, and 7 pooled Melbourne Transport routes are flagged.</w:t>
      </w:r>
    </w:p>
    <w:p>
      <w:pPr>
        <w:pStyle w:val="ListParagraph"/>
        <w:numPr>
          <w:ilvl w:val="0"/>
          <w:numId w:val="2"/>
        </w:numPr>
      </w:pPr>
      <w:r>
        <w:rPr>
          <w:b/>
          <w:bCs/>
        </w:rPr>
        <w:t xml:space="preserve">Needs ops confirmation</w:t>
      </w:r>
      <w:r>
        <w:t xml:space="preserve"> before </w:t>
      </w:r>
      <w:r>
        <w:rPr>
          <w:rFonts w:ascii="Consolas" w:cs="Consolas" w:eastAsia="Consolas" w:hAnsi="Consolas"/>
          <w:sz w:val="20"/>
          <w:szCs w:val="20"/>
        </w:rPr>
        <w:t xml:space="preserve">first_mile_despatch.csv</w:t>
      </w:r>
      <w:r>
        <w:t xml:space="preserve"> changes.</w:t>
      </w:r>
    </w:p>
    <w:p>
      <w:pPr>
        <w:spacing w:after="60" w:before="120"/>
      </w:pPr>
      <w:r>
        <w:rPr>
          <w:b/>
          <w:bCs/>
        </w:rPr>
        <w:t xml:space="preserve">Middle mile (network → network movements)</w:t>
      </w:r>
    </w:p>
    <w:p>
      <w:pPr>
        <w:pStyle w:val="ListParagraph"/>
        <w:numPr>
          <w:ilvl w:val="0"/>
          <w:numId w:val="2"/>
        </w:numPr>
      </w:pPr>
      <w:r>
        <w:t xml:space="preserve">About 320 a day at Dandenong Transport and 650–700 a day at Melbourne Transport, Mon–Thu.</w:t>
      </w:r>
    </w:p>
    <w:p>
      <w:pPr>
        <w:pStyle w:val="ListParagraph"/>
        <w:numPr>
          <w:ilvl w:val="0"/>
          <w:numId w:val="2"/>
        </w:numPr>
      </w:pPr>
      <w:r>
        <w:t xml:space="preserve">Not modelled today.</w:t>
      </w:r>
    </w:p>
    <w:p>
      <w:pPr>
        <w:spacing w:after="60" w:before="120"/>
      </w:pPr>
      <w:r>
        <w:rPr>
          <w:b/>
          <w:bCs/>
        </w:rPr>
        <w:t xml:space="preserve">Fleet: routes per day and volume per vehicle (</w:t>
      </w:r>
      <w:r>
        <w:rPr>
          <w:rFonts w:ascii="Consolas" w:cs="Consolas" w:eastAsia="Consolas" w:hAnsi="Consolas"/>
          <w:b/>
          <w:bCs/>
          <w:sz w:val="20"/>
          <w:szCs w:val="20"/>
        </w:rPr>
        <w:t xml:space="preserve">utilities/pickup_points.py</w:t>
      </w:r>
      <w:r>
        <w:rPr>
          <w:b/>
          <w:bCs/>
        </w:rPr>
        <w:t xml:space="preserve">)</w:t>
      </w:r>
    </w:p>
    <w:p>
      <w:pPr>
        <w:pStyle w:val="ListParagraph"/>
        <w:numPr>
          <w:ilvl w:val="0"/>
          <w:numId w:val="2"/>
        </w:numPr>
      </w:pPr>
      <w:r>
        <w:rPr>
          <w:b/>
          <w:bCs/>
        </w:rPr>
        <w:t xml:space="preserve">Route</w:t>
      </w:r>
      <w:r>
        <w:t xml:space="preserve"> = one CCP route name with at least one counted pickup that day. It stands in for one collecting vehicle.</w:t>
      </w:r>
    </w:p>
    <w:p>
      <w:pPr>
        <w:pStyle w:val="ListParagraph"/>
        <w:numPr>
          <w:ilvl w:val="0"/>
          <w:numId w:val="2"/>
        </w:numPr>
      </w:pPr>
      <w:r>
        <w:rPr>
          <w:b/>
          <w:bCs/>
        </w:rPr>
        <w:t xml:space="preserve">Volume</w:t>
      </w:r>
      <w:r>
        <w:t xml:space="preserve"> = the model's daily peak (</w:t>
      </w:r>
      <w:r>
        <w:rPr>
          <w:rFonts w:ascii="Consolas" w:cs="Consolas" w:eastAsia="Consolas" w:hAnsi="Consolas"/>
          <w:sz w:val="20"/>
          <w:szCs w:val="20"/>
        </w:rPr>
        <w:t xml:space="preserve">PEAK_2025_&lt;site&gt;</w:t>
      </w:r>
      <w:r>
        <w:t xml:space="preserve"> × </w:t>
      </w:r>
      <w:r>
        <w:rPr>
          <w:rFonts w:ascii="Consolas" w:cs="Consolas" w:eastAsia="Consolas" w:hAnsi="Consolas"/>
          <w:sz w:val="20"/>
          <w:szCs w:val="20"/>
        </w:rPr>
        <w:t xml:space="preserve">PEAK_FACTOR</w:t>
      </w:r>
      <w:r>
        <w:t xml:space="preserve">), not a CCP measurement.</w:t>
      </w:r>
    </w:p>
    <w:p>
      <w:pPr>
        <w:pStyle w:val="ListParagraph"/>
        <w:numPr>
          <w:ilvl w:val="0"/>
          <w:numId w:val="2"/>
        </w:numPr>
      </w:pPr>
      <w:r>
        <w:t xml:space="preserve">Output: </w:t>
      </w:r>
      <w:r>
        <w:rPr>
          <w:rFonts w:ascii="Consolas" w:cs="Consolas" w:eastAsia="Consolas" w:hAnsi="Consolas"/>
          <w:sz w:val="20"/>
          <w:szCs w:val="20"/>
        </w:rPr>
        <w:t xml:space="preserve">outputs/pickup_fleet_metrics.csv</w:t>
      </w:r>
      <w:r>
        <w:t xml:space="preserve"> (Mon–Fri mean), or </w:t>
      </w:r>
      <w:r>
        <w:rPr>
          <w:rFonts w:ascii="Consolas" w:cs="Consolas" w:eastAsia="Consolas" w:hAnsi="Consolas"/>
          <w:sz w:val="20"/>
          <w:szCs w:val="20"/>
        </w:rPr>
        <w:t xml:space="preserve">pickup_fleet_metrics_&lt;date&gt;.csv</w:t>
      </w:r>
      <w:r>
        <w:t xml:space="preserve"> with </w:t>
      </w:r>
      <w:r>
        <w:rPr>
          <w:rFonts w:ascii="Consolas" w:cs="Consolas" w:eastAsia="Consolas" w:hAnsi="Consolas"/>
          <w:sz w:val="20"/>
          <w:szCs w:val="20"/>
        </w:rPr>
        <w:t xml:space="preserve">--day</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928"/>
        <w:gridCol w:w="1060"/>
        <w:gridCol w:w="1060"/>
        <w:gridCol w:w="1060"/>
        <w:gridCol w:w="1060"/>
        <w:gridCol w:w="1060"/>
        <w:gridCol w:w="1061"/>
      </w:tblGrid>
      <w:tr>
        <w:trPr>
          <w:tblHeader/>
        </w:trPr>
        <w:tc>
          <w:tcPr>
            <w:tcW w:type="dxa" w:w="1349"/>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Vehicle</w:t>
            </w:r>
          </w:p>
        </w:tc>
        <w:tc>
          <w:tcPr>
            <w:tcW w:type="dxa" w:w="1928"/>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Site</w:t>
            </w:r>
          </w:p>
        </w:tc>
        <w:tc>
          <w:tcPr>
            <w:tcW w:type="dxa" w:w="10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Stops/day</w:t>
            </w:r>
          </w:p>
        </w:tc>
        <w:tc>
          <w:tcPr>
            <w:tcW w:type="dxa" w:w="10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Routes/day</w:t>
            </w:r>
          </w:p>
        </w:tc>
        <w:tc>
          <w:tcPr>
            <w:tcW w:type="dxa" w:w="10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Stops/route</w:t>
            </w:r>
          </w:p>
        </w:tc>
        <w:tc>
          <w:tcPr>
            <w:tcW w:type="dxa" w:w="10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Peak volume (EA)</w:t>
            </w:r>
          </w:p>
        </w:tc>
        <w:tc>
          <w:tcPr>
            <w:tcW w:type="dxa" w:w="1060"/>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Volume/vehicle</w:t>
            </w:r>
          </w:p>
        </w:tc>
        <w:tc>
          <w:tcPr>
            <w:tcW w:type="dxa" w:w="1061"/>
            <w:tcBorders>
              <w:top w:val="single" w:color="BFBFBF" w:sz="4"/>
              <w:left w:val="single" w:color="BFBFBF" w:sz="4"/>
              <w:bottom w:val="single" w:color="BFBFBF" w:sz="4"/>
              <w:right w:val="single" w:color="BFBFBF" w:sz="4"/>
            </w:tcBorders>
            <w:shd w:fill="DCE6F1" w:color="auto" w:val="clear"/>
            <w:tcMar>
              <w:top w:type="dxa" w:w="40"/>
              <w:left w:type="dxa" w:w="80"/>
              <w:bottom w:type="dxa" w:w="40"/>
              <w:right w:type="dxa" w:w="80"/>
            </w:tcMar>
          </w:tcPr>
          <w:p>
            <w:pPr>
              <w:jc w:val="left"/>
            </w:pPr>
            <w:r>
              <w:rPr>
                <w:b/>
                <w:bCs/>
                <w:sz w:val="18"/>
                <w:szCs w:val="18"/>
              </w:rPr>
              <w:t xml:space="preserve">Volume/stop</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Red van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Bayswater</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1,441</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72.0</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20.0</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26,404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367</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18.3</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Red van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Dandenong South</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1,112</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48.6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22.9</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24,798</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510</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22.3</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Red van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Melbourne North</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1,146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71.8</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16.0</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30,460</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424</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26.6</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Red van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Oakleigh South</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2,035</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90.4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22.5</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40,245</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445</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19.8</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Red van</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Sunshine West</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2,088</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135.6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15.4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67,794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500</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32.5</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Truck</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Dandenong Transport</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214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64.0</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3.3</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16,856</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263</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78.9</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Truck</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sz w:val="18"/>
                <w:szCs w:val="18"/>
              </w:rPr>
              <w:t xml:space="preserve">Melbourne Transport</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370</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109.2</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246,074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2,253</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665.1</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8"/>
                <w:szCs w:val="18"/>
              </w:rPr>
              <w:t xml:space="preserve">All red vans</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7,821</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418</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18.7</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189,701</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8"/>
                <w:szCs w:val="18"/>
              </w:rPr>
              <w:t xml:space="preserve">453</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24.3</w:t>
            </w:r>
          </w:p>
        </w:tc>
      </w:tr>
      <w:tr>
        <w:trPr>
          <w:tblHeader w:val="off"/>
        </w:trPr>
        <w:tc>
          <w:tcPr>
            <w:tcW w:type="dxa" w:w="1349"/>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r>
              <w:rPr>
                <w:b/>
                <w:bCs/>
                <w:sz w:val="18"/>
                <w:szCs w:val="18"/>
              </w:rPr>
              <w:t xml:space="preserve">All trucks</w:t>
            </w:r>
          </w:p>
        </w:tc>
        <w:tc>
          <w:tcPr>
            <w:tcW w:type="dxa" w:w="1928"/>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left"/>
            </w:pP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584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173</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3.4</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262,930</w:t>
            </w:r>
          </w:p>
        </w:tc>
        <w:tc>
          <w:tcPr>
            <w:tcW w:type="dxa" w:w="1060"/>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b/>
                <w:bCs/>
                <w:sz w:val="18"/>
                <w:szCs w:val="18"/>
              </w:rPr>
              <w:t xml:space="preserve">1,518</w:t>
            </w:r>
          </w:p>
        </w:tc>
        <w:tc>
          <w:tcPr>
            <w:tcW w:type="dxa" w:w="1061"/>
            <w:tcBorders>
              <w:top w:val="single" w:color="BFBFBF" w:sz="4"/>
              <w:left w:val="single" w:color="BFBFBF" w:sz="4"/>
              <w:bottom w:val="single" w:color="BFBFBF" w:sz="4"/>
              <w:right w:val="single" w:color="BFBFBF" w:sz="4"/>
            </w:tcBorders>
            <w:tcMar>
              <w:top w:type="dxa" w:w="40"/>
              <w:left w:type="dxa" w:w="80"/>
              <w:bottom w:type="dxa" w:w="40"/>
              <w:right w:type="dxa" w:w="80"/>
            </w:tcMar>
          </w:tcPr>
          <w:p>
            <w:pPr>
              <w:jc w:val="right"/>
            </w:pPr>
            <w:r>
              <w:rPr>
                <w:sz w:val="18"/>
                <w:szCs w:val="18"/>
              </w:rPr>
              <w:t xml:space="preserve">450.5</w:t>
            </w:r>
          </w:p>
        </w:tc>
      </w:tr>
    </w:tbl>
    <w:p/>
    <w:p>
      <w:pPr>
        <w:spacing w:after="60" w:before="120"/>
      </w:pPr>
      <w:r>
        <w:t xml:space="preserve">Mon–Fri mean. Monday 18 May runs more routes (red vans 447, trucks 174), so volume per vehicle is slightly lower that day.</w:t>
      </w:r>
    </w:p>
    <w:p>
      <w:pPr>
        <w:pStyle w:val="ListParagraph"/>
        <w:numPr>
          <w:ilvl w:val="0"/>
          <w:numId w:val="2"/>
        </w:numPr>
      </w:pPr>
      <w:r>
        <w:rPr>
          <w:b/>
          <w:bCs/>
        </w:rPr>
        <w:t xml:space="preserve">Measured stops per route replace the assumed ones.</w:t>
      </w:r>
    </w:p>
    <w:p>
      <w:pPr>
        <w:pStyle w:val="ListParagraph"/>
        <w:numPr>
          <w:ilvl w:val="1"/>
          <w:numId w:val="2"/>
        </w:numPr>
      </w:pPr>
      <w:r>
        <w:t xml:space="preserve">Red vans do 15–25 pickups per route, not 12.</w:t>
      </w:r>
    </w:p>
    <w:p>
      <w:pPr>
        <w:pStyle w:val="ListParagraph"/>
        <w:numPr>
          <w:ilvl w:val="1"/>
          <w:numId w:val="2"/>
        </w:numPr>
      </w:pPr>
      <w:r>
        <w:t xml:space="preserve">Trucks do about 3.4 customer pickups per route, not 8.</w:t>
      </w:r>
    </w:p>
    <w:p>
      <w:pPr>
        <w:pStyle w:val="ListParagraph"/>
        <w:numPr>
          <w:ilvl w:val="1"/>
          <w:numId w:val="2"/>
        </w:numPr>
      </w:pPr>
      <w:r>
        <w:t xml:space="preserve">Stops ÷ 12 (red van) and ÷ 8 (truck) therefore gives about 2× too many red vans and 2.4× too few trucks.</w:t>
      </w:r>
    </w:p>
    <w:p>
      <w:pPr>
        <w:pStyle w:val="ListParagraph"/>
        <w:numPr>
          <w:ilvl w:val="0"/>
          <w:numId w:val="2"/>
        </w:numPr>
      </w:pPr>
      <w:r>
        <w:rPr>
          <w:b/>
          <w:bCs/>
        </w:rPr>
        <w:t xml:space="preserve">Red-van sites are fairly even:</w:t>
      </w:r>
      <w:r>
        <w:t xml:space="preserve"> 367–510 EA per vehicle.</w:t>
      </w:r>
    </w:p>
    <w:p>
      <w:pPr>
        <w:pStyle w:val="ListParagraph"/>
        <w:numPr>
          <w:ilvl w:val="1"/>
          <w:numId w:val="2"/>
        </w:numPr>
      </w:pPr>
      <w:r>
        <w:t xml:space="preserve">Sunshine West runs many short routes with big stops (15.4 stops, 32.5 EA each).</w:t>
      </w:r>
    </w:p>
    <w:p>
      <w:pPr>
        <w:pStyle w:val="ListParagraph"/>
        <w:numPr>
          <w:ilvl w:val="1"/>
          <w:numId w:val="2"/>
        </w:numPr>
      </w:pPr>
      <w:r>
        <w:t xml:space="preserve">Dandenong South runs fewer, longer routes with smaller stops (22.9 stops, 22.3 EA each).</w:t>
      </w:r>
    </w:p>
    <w:p>
      <w:pPr>
        <w:pStyle w:val="ListParagraph"/>
        <w:numPr>
          <w:ilvl w:val="0"/>
          <w:numId w:val="2"/>
        </w:numPr>
      </w:pPr>
      <w:r>
        <w:rPr>
          <w:b/>
          <w:bCs/>
        </w:rPr>
        <w:t xml:space="preserve">Every red-van site is above van capacity.</w:t>
      </w:r>
      <w:r>
        <w:t xml:space="preserve"> The model's red van carries about 160 EA effective (180 physical), so each route would need 2–3 loads. Either vans unload and go out again, or part of the peak is not van-collected (e.g. counter lodgement at the depot).</w:t>
      </w:r>
    </w:p>
    <w:p>
      <w:pPr>
        <w:pStyle w:val="ListParagraph"/>
        <w:numPr>
          <w:ilvl w:val="0"/>
          <w:numId w:val="2"/>
        </w:numPr>
      </w:pPr>
      <w:r>
        <w:rPr>
          <w:b/>
          <w:bCs/>
        </w:rPr>
        <w:t xml:space="preserve">Trucks against red vans:</w:t>
      </w:r>
      <w:r>
        <w:t xml:space="preserve"> trucks average 3.3× more per vehicle, but that is all Melbourne Transport.</w:t>
      </w:r>
    </w:p>
    <w:p>
      <w:pPr>
        <w:pStyle w:val="ListParagraph"/>
        <w:numPr>
          <w:ilvl w:val="1"/>
          <w:numId w:val="2"/>
        </w:numPr>
      </w:pPr>
      <w:r>
        <w:t xml:space="preserve">Dandenong Transport carries </w:t>
      </w:r>
      <w:r>
        <w:rPr>
          <w:b/>
          <w:bCs/>
        </w:rPr>
        <w:t xml:space="preserve">less</w:t>
      </w:r>
      <w:r>
        <w:t xml:space="preserve"> per vehicle than any red-van site (263 EA).</w:t>
      </w:r>
    </w:p>
    <w:p>
      <w:pPr>
        <w:pStyle w:val="ListParagraph"/>
        <w:numPr>
          <w:ilvl w:val="1"/>
          <w:numId w:val="2"/>
        </w:numPr>
      </w:pPr>
      <w:r>
        <w:t xml:space="preserve">Melbourne Transport carries 2,253 EA per vehicle, 8.6× Dandenong Transport, on the same 3.4 stops per route and above the model's truck capacity (1,500 EA).</w:t>
      </w:r>
    </w:p>
    <w:p>
      <w:pPr>
        <w:pStyle w:val="ListParagraph"/>
        <w:numPr>
          <w:ilvl w:val="0"/>
          <w:numId w:val="2"/>
        </w:numPr>
      </w:pPr>
      <w:r>
        <w:rPr>
          <w:b/>
          <w:bCs/>
        </w:rPr>
        <w:t xml:space="preserve">Caveats:</w:t>
      </w:r>
    </w:p>
    <w:p>
      <w:pPr>
        <w:pStyle w:val="ListParagraph"/>
        <w:numPr>
          <w:ilvl w:val="1"/>
          <w:numId w:val="2"/>
        </w:numPr>
      </w:pPr>
      <w:r>
        <w:t xml:space="preserve">A vehicle running two routes a day means a smaller fleet carrying more each.</w:t>
      </w:r>
    </w:p>
    <w:p>
      <w:pPr>
        <w:pStyle w:val="ListParagraph"/>
        <w:numPr>
          <w:ilvl w:val="1"/>
          <w:numId w:val="2"/>
        </w:numPr>
      </w:pPr>
      <w:r>
        <w:t xml:space="preserve">Truck routes doing only network linehaul are not counted: 109 of Melbourne Transport's ~210 routes a day have no customer pickup.</w:t>
      </w:r>
    </w:p>
    <w:p>
      <w:pPr>
        <w:pBdr>
          <w:bottom w:val="single" w:color="BFBFBF" w:sz="6" w:space="1"/>
        </w:pBdr>
      </w:pPr>
    </w:p>
    <w:p>
      <w:pPr>
        <w:pStyle w:val="Heading1"/>
      </w:pPr>
      <w:r>
        <w:t xml:space="preserve">7. Known gaps</w:t>
      </w:r>
    </w:p>
    <w:p>
      <w:pPr>
        <w:pStyle w:val="ListParagraph"/>
        <w:numPr>
          <w:ilvl w:val="0"/>
          <w:numId w:val="2"/>
        </w:numPr>
      </w:pPr>
      <w:r>
        <w:rPr>
          <w:b/>
          <w:bCs/>
        </w:rPr>
        <w:t xml:space="preserve">The clusters predate the delivery-centre rule.</w:t>
      </w:r>
      <w:r>
        <w:t xml:space="preserve"> They were built from 9,088 stops on 18 May; the rule adds about 290 stops that day. Re-run the routing on the new </w:t>
      </w:r>
      <w:r>
        <w:rPr>
          <w:rFonts w:ascii="Consolas" w:cs="Consolas" w:eastAsia="Consolas" w:hAnsi="Consolas"/>
          <w:sz w:val="20"/>
          <w:szCs w:val="20"/>
        </w:rPr>
        <w:t xml:space="preserve">pickup_stops</w:t>
      </w:r>
      <w:r>
        <w:t xml:space="preserve"> file, then rebuild Macro 4.</w:t>
      </w:r>
    </w:p>
    <w:p>
      <w:pPr>
        <w:pStyle w:val="ListParagraph"/>
        <w:numPr>
          <w:ilvl w:val="0"/>
          <w:numId w:val="2"/>
        </w:numPr>
      </w:pPr>
      <w:r>
        <w:rPr>
          <w:b/>
          <w:bCs/>
        </w:rPr>
        <w:t xml:space="preserve">Equal split per cluster:</w:t>
      </w:r>
      <w:r>
        <w:t xml:space="preserve"> a busy round and a quiet round collect the same volume.</w:t>
      </w:r>
    </w:p>
    <w:p>
      <w:pPr>
        <w:pStyle w:val="ListParagraph"/>
        <w:numPr>
          <w:ilvl w:val="0"/>
          <w:numId w:val="2"/>
        </w:numPr>
      </w:pPr>
      <w:r>
        <w:rPr>
          <w:b/>
          <w:bCs/>
        </w:rPr>
        <w:t xml:space="preserve">Volume level is not from CCP.</w:t>
      </w:r>
      <w:r>
        <w:t xml:space="preserve"> It rests on the 2025 peak × 0.70.</w:t>
      </w:r>
    </w:p>
    <w:p>
      <w:pPr>
        <w:pStyle w:val="ListParagraph"/>
        <w:numPr>
          <w:ilvl w:val="0"/>
          <w:numId w:val="2"/>
        </w:numPr>
      </w:pPr>
      <w:r>
        <w:rPr>
          <w:b/>
          <w:bCs/>
        </w:rPr>
        <w:t xml:space="preserve">Melbourne Transport's peak does not match its pickups.</w:t>
      </w:r>
    </w:p>
    <w:p>
      <w:pPr>
        <w:pStyle w:val="ListParagraph"/>
        <w:numPr>
          <w:ilvl w:val="1"/>
          <w:numId w:val="2"/>
        </w:numPr>
      </w:pPr>
      <w:r>
        <w:t xml:space="preserve">Against Dandenong Transport, CCP shows 1.7× the stops, 1.7× the routes and 2.3× the recorded collected volume. The peak is 14.6× (351,535 against 24,081 EA).</w:t>
      </w:r>
    </w:p>
    <w:p>
      <w:pPr>
        <w:pStyle w:val="ListParagraph"/>
        <w:numPr>
          <w:ilvl w:val="1"/>
          <w:numId w:val="2"/>
        </w:numPr>
      </w:pPr>
      <w:r>
        <w:t xml:space="preserve">The peak most likely includes volume that never passes a customer pickup stop: network linehaul, dock lodgement by large shippers, pooled ad-hoc routes.</w:t>
      </w:r>
    </w:p>
    <w:p>
      <w:pPr>
        <w:pStyle w:val="ListParagraph"/>
        <w:numPr>
          <w:ilvl w:val="1"/>
          <w:numId w:val="2"/>
        </w:numPr>
      </w:pPr>
      <w:r>
        <w:rPr>
          <w:b/>
          <w:bCs/>
        </w:rPr>
        <w:t xml:space="preserve">Needs ops confirmation</w:t>
      </w:r>
      <w:r>
        <w:t xml:space="preserve"> of what the 351,535 counts. Until then, Melbourne Transport's volume per vehicle is not reliable.</w:t>
      </w:r>
    </w:p>
    <w:p>
      <w:pPr>
        <w:pStyle w:val="ListParagraph"/>
        <w:numPr>
          <w:ilvl w:val="0"/>
          <w:numId w:val="2"/>
        </w:numPr>
      </w:pPr>
      <w:r>
        <w:rPr>
          <w:b/>
          <w:bCs/>
        </w:rPr>
        <w:t xml:space="preserve">The despatch split is an assumption</w:t>
      </w:r>
      <w:r>
        <w:t xml:space="preserve"> that the CCP measurement contradicts at Dandenong Transport.</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60"/>
      </w:pPr>
    </w:lvl>
    <w:lvl w:ilvl="1" w:tentative="1">
      <w:start w:val="1"/>
      <w:numFmt w:val="bullet"/>
      <w:lvlText w:val="◦"/>
      <w:lvlJc w:val="left"/>
      <w:pPr>
        <w:ind w:left="720" w:hanging="260"/>
      </w:pPr>
    </w:lvl>
    <w:lvl w:ilvl="2" w:tentative="1">
      <w:start w:val="1"/>
      <w:numFmt w:val="bullet"/>
      <w:lvlText w:val="▪"/>
      <w:lvlJc w:val="left"/>
      <w:pPr>
        <w:ind w:left="1080" w:hanging="260"/>
      </w:pPr>
    </w:lvl>
    <w:lvl w:ilvl="3" w:tentative="1">
      <w:start w:val="1"/>
      <w:numFmt w:val="bullet"/>
      <w:lvlText w:val="–"/>
      <w:lvlJc w:val="left"/>
      <w:pPr>
        <w:ind w:left="1440" w:hanging="260"/>
      </w:pPr>
    </w:lvl>
  </w:abstractNum>
  <w:abstractNum w:abstractNumId="3" w15:restartNumberingAfterBreak="0">
    <w:multiLevelType w:val="hybridMultilevel"/>
    <w:lvl w:ilvl="0" w:tentative="1">
      <w:start w:val="1"/>
      <w:numFmt w:val="decimal"/>
      <w:lvlText w:val="%1."/>
      <w:lvlJc w:val="left"/>
      <w:pPr>
        <w:ind w:left="36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36"/>
      <w:szCs w:val="36"/>
    </w:rPr>
  </w:style>
  <w:style w:type="paragraph" w:styleId="Heading1">
    <w:name w:val="Heading 1"/>
    <w:basedOn w:val="Normal"/>
    <w:next w:val="Normal"/>
    <w:qFormat/>
    <w:pPr>
      <w:spacing w:after="120" w:before="240"/>
      <w:outlineLvl w:val="0"/>
    </w:pPr>
    <w:rPr>
      <w:b/>
      <w:bCs/>
      <w:color w:val="2E74B5"/>
      <w:sz w:val="28"/>
      <w:szCs w:val="28"/>
    </w:rPr>
  </w:style>
  <w:style w:type="paragraph" w:styleId="Heading2">
    <w:name w:val="Heading 2"/>
    <w:basedOn w:val="Normal"/>
    <w:next w:val="Normal"/>
    <w:qFormat/>
    <w:pPr>
      <w:spacing w:after="100" w:before="200"/>
      <w:outlineLvl w:val="1"/>
    </w:pPr>
    <w:rPr>
      <w:b/>
      <w:bCs/>
      <w:color w:val="2E74B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2026-09-28T05:20:03.424Z</dcterms:created>
  <dcterms:modified xsi:type="dcterms:W3CDTF">2026-09-28T05:20:03.425Z</dcterms:modified>
</cp:coreProperties>
</file>

<file path=docProps/custom.xml><?xml version="1.0" encoding="utf-8"?>
<Properties xmlns="http://schemas.openxmlformats.org/officeDocument/2006/custom-properties" xmlns:vt="http://schemas.openxmlformats.org/officeDocument/2006/docPropsVTypes"/>
</file>