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C52" w:rsidRPr="001F2C52" w:rsidRDefault="001F2C52" w:rsidP="001F2C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588385" cy="1285240"/>
            <wp:effectExtent l="0" t="0" r="0" b="0"/>
            <wp:docPr id="2" name="Picture 2" descr="https://www3.ntu.edu.sg/cits2/maintenance/img/logo/hires_logo_bw_schoo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cits2/maintenance/img/logo/hires_logo_bw_schoo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8385" cy="1285240"/>
                    </a:xfrm>
                    <a:prstGeom prst="rect">
                      <a:avLst/>
                    </a:prstGeom>
                    <a:noFill/>
                    <a:ln>
                      <a:noFill/>
                    </a:ln>
                  </pic:spPr>
                </pic:pic>
              </a:graphicData>
            </a:graphic>
          </wp:inline>
        </w:drawing>
      </w:r>
    </w:p>
    <w:p w:rsidR="001F2C52" w:rsidRPr="001F2C52" w:rsidRDefault="001F2C52" w:rsidP="001F2C52">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1F2C52" w:rsidRPr="001F2C52" w:rsidRDefault="001F2C52" w:rsidP="001F2C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6732" cy="2484407"/>
            <wp:effectExtent l="0" t="0" r="0" b="0"/>
            <wp:docPr id="1" name="Picture 1" descr="Master of Science in Financial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of Science in Financial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725" cy="2484404"/>
                    </a:xfrm>
                    <a:prstGeom prst="rect">
                      <a:avLst/>
                    </a:prstGeom>
                    <a:noFill/>
                    <a:ln>
                      <a:noFill/>
                    </a:ln>
                  </pic:spPr>
                </pic:pic>
              </a:graphicData>
            </a:graphic>
          </wp:inline>
        </w:drawing>
      </w:r>
      <w:r w:rsidRPr="001F2C52">
        <w:rPr>
          <w:rFonts w:ascii="Times New Roman" w:eastAsia="Times New Roman" w:hAnsi="Times New Roman" w:cs="Times New Roman"/>
          <w:sz w:val="24"/>
          <w:szCs w:val="24"/>
        </w:rPr>
        <w:t> </w:t>
      </w:r>
    </w:p>
    <w:p w:rsidR="001F2C52" w:rsidRPr="001F2C52" w:rsidRDefault="001F2C52" w:rsidP="00C22B78">
      <w:pPr>
        <w:spacing w:before="180" w:after="100" w:afterAutospacing="1" w:line="240" w:lineRule="auto"/>
        <w:jc w:val="both"/>
        <w:rPr>
          <w:rFonts w:ascii="Times New Roman" w:eastAsia="Times New Roman" w:hAnsi="Times New Roman" w:cs="Times New Roman"/>
          <w:sz w:val="24"/>
          <w:szCs w:val="24"/>
        </w:rPr>
      </w:pPr>
      <w:r w:rsidRPr="001F2C52">
        <w:rPr>
          <w:rFonts w:ascii="Times New Roman" w:eastAsia="Times New Roman" w:hAnsi="Times New Roman" w:cs="Times New Roman"/>
          <w:b/>
          <w:bCs/>
          <w:sz w:val="24"/>
          <w:szCs w:val="24"/>
        </w:rPr>
        <w:t>Financial Technology (FinTech)</w:t>
      </w:r>
      <w:r w:rsidRPr="001F2C52">
        <w:rPr>
          <w:rFonts w:ascii="Times New Roman" w:eastAsia="Times New Roman" w:hAnsi="Times New Roman" w:cs="Times New Roman"/>
          <w:sz w:val="24"/>
          <w:szCs w:val="24"/>
        </w:rPr>
        <w:t xml:space="preserve"> refers to a cluster of emerging innovations that have the potential to revolutionize the nature of the finance industry, enhancing the productivity of financial firms by employing data science and cyber technologies. Global investment in FinTech has been so active in recent years that the Monetary Authority of Singapore has launched an in​itiative, the FinTech and Innovation Group, and pledged to spend S$225 million over the next five years to develop the FinTech sector in Singapore.</w:t>
      </w:r>
    </w:p>
    <w:p w:rsidR="001F2C52" w:rsidRPr="001F2C52" w:rsidRDefault="001F2C52" w:rsidP="00C22B78">
      <w:pPr>
        <w:spacing w:before="100" w:beforeAutospacing="1" w:after="100" w:afterAutospacing="1" w:line="240" w:lineRule="auto"/>
        <w:jc w:val="both"/>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Nanyang Technological University, Singapore (NTU Singapore) offers a Master of Science in FinTech (MSc in FinTech) hosted by the School of Physical and Mathematical Sciences. The curriculum is built upon data science, artificial intelligence, and information technology to provide students with the FinTech skills necessary for navigating the changing landscape of the finance industry. Strong emphasis is placed on the in-depth mastery of disruptive technologies in finance, including financial automation (e.g. robo-advisors) and financial cryptography (e.g. blockchain technology).</w:t>
      </w:r>
    </w:p>
    <w:p w:rsidR="001F2C52" w:rsidRPr="001F2C52" w:rsidRDefault="001F2C52" w:rsidP="001F2C52">
      <w:pPr>
        <w:spacing w:after="0" w:line="240" w:lineRule="auto"/>
        <w:rPr>
          <w:rFonts w:ascii="Times New Roman" w:eastAsia="Times New Roman" w:hAnsi="Times New Roman" w:cs="Times New Roman"/>
          <w:color w:val="0000FF"/>
          <w:sz w:val="24"/>
          <w:szCs w:val="24"/>
          <w:u w:val="single"/>
        </w:rPr>
      </w:pPr>
      <w:r w:rsidRPr="001F2C52">
        <w:rPr>
          <w:rFonts w:ascii="Times New Roman" w:eastAsia="Times New Roman" w:hAnsi="Times New Roman" w:cs="Times New Roman"/>
          <w:sz w:val="24"/>
          <w:szCs w:val="24"/>
        </w:rPr>
        <w:fldChar w:fldCharType="begin"/>
      </w:r>
      <w:r w:rsidRPr="001F2C52">
        <w:rPr>
          <w:rFonts w:ascii="Times New Roman" w:eastAsia="Times New Roman" w:hAnsi="Times New Roman" w:cs="Times New Roman"/>
          <w:sz w:val="24"/>
          <w:szCs w:val="24"/>
        </w:rPr>
        <w:instrText xml:space="preserve"> HYPERLINK "https://ebook.ntu.edu.sg/20191025-msc-in-financial-technology-brochure.html" \t "_blank" </w:instrText>
      </w:r>
      <w:r w:rsidRPr="001F2C52">
        <w:rPr>
          <w:rFonts w:ascii="Times New Roman" w:eastAsia="Times New Roman" w:hAnsi="Times New Roman" w:cs="Times New Roman"/>
          <w:sz w:val="24"/>
          <w:szCs w:val="24"/>
        </w:rPr>
        <w:fldChar w:fldCharType="separate"/>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color w:val="0000FF"/>
          <w:sz w:val="24"/>
          <w:szCs w:val="24"/>
          <w:u w:val="single"/>
        </w:rPr>
        <w:t>Click here for the MSc in FinTech programme brochure!</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fldChar w:fldCharType="end"/>
      </w:r>
    </w:p>
    <w:p w:rsidR="001F2C52" w:rsidRPr="001F2C52" w:rsidRDefault="00C22B78" w:rsidP="001F2C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anchor="programme" w:history="1">
        <w:r w:rsidR="001F2C52" w:rsidRPr="001F2C52">
          <w:rPr>
            <w:rFonts w:ascii="Times New Roman" w:eastAsia="Times New Roman" w:hAnsi="Times New Roman" w:cs="Times New Roman"/>
            <w:color w:val="0000FF"/>
            <w:sz w:val="24"/>
            <w:szCs w:val="24"/>
            <w:u w:val="single"/>
          </w:rPr>
          <w:t>Programme &amp; Curriculum Structure</w:t>
        </w:r>
      </w:hyperlink>
      <w:r w:rsidR="001F2C52" w:rsidRPr="001F2C52">
        <w:rPr>
          <w:rFonts w:ascii="Times New Roman" w:eastAsia="Times New Roman" w:hAnsi="Times New Roman" w:cs="Times New Roman"/>
          <w:sz w:val="24"/>
          <w:szCs w:val="24"/>
        </w:rPr>
        <w:t xml:space="preserve"> </w:t>
      </w:r>
    </w:p>
    <w:p w:rsidR="001F2C52" w:rsidRPr="001F2C52" w:rsidRDefault="00C22B78" w:rsidP="001F2C52">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 w:anchor="compulsory-courses" w:history="1">
        <w:r w:rsidR="001F2C52" w:rsidRPr="001F2C52">
          <w:rPr>
            <w:rFonts w:ascii="Times New Roman" w:eastAsia="Times New Roman" w:hAnsi="Times New Roman" w:cs="Times New Roman"/>
            <w:color w:val="0000FF"/>
            <w:sz w:val="24"/>
            <w:szCs w:val="24"/>
            <w:u w:val="single"/>
          </w:rPr>
          <w:t>Compulsory Courses</w:t>
        </w:r>
      </w:hyperlink>
    </w:p>
    <w:p w:rsidR="001F2C52" w:rsidRPr="001F2C52" w:rsidRDefault="00C22B78" w:rsidP="001F2C52">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0" w:anchor="electives" w:history="1">
        <w:r w:rsidR="001F2C52" w:rsidRPr="001F2C52">
          <w:rPr>
            <w:rFonts w:ascii="Times New Roman" w:eastAsia="Times New Roman" w:hAnsi="Times New Roman" w:cs="Times New Roman"/>
            <w:color w:val="0000FF"/>
            <w:sz w:val="24"/>
            <w:szCs w:val="24"/>
            <w:u w:val="single"/>
          </w:rPr>
          <w:t>Elective Courses</w:t>
        </w:r>
      </w:hyperlink>
    </w:p>
    <w:p w:rsidR="001F2C52" w:rsidRPr="001F2C52" w:rsidRDefault="00C22B78" w:rsidP="001F2C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anchor="timeline" w:history="1">
        <w:r w:rsidR="001F2C52" w:rsidRPr="001F2C52">
          <w:rPr>
            <w:rFonts w:ascii="Times New Roman" w:eastAsia="Times New Roman" w:hAnsi="Times New Roman" w:cs="Times New Roman"/>
            <w:color w:val="0000FF"/>
            <w:sz w:val="24"/>
            <w:szCs w:val="24"/>
            <w:u w:val="single"/>
          </w:rPr>
          <w:t>Academic Timeline</w:t>
        </w:r>
      </w:hyperlink>
    </w:p>
    <w:p w:rsidR="001F2C52" w:rsidRPr="001F2C52" w:rsidRDefault="00C22B78" w:rsidP="001F2C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anchor="admission" w:history="1">
        <w:r w:rsidR="001F2C52" w:rsidRPr="001F2C52">
          <w:rPr>
            <w:rFonts w:ascii="Times New Roman" w:eastAsia="Times New Roman" w:hAnsi="Times New Roman" w:cs="Times New Roman"/>
            <w:color w:val="0000FF"/>
            <w:sz w:val="24"/>
            <w:szCs w:val="24"/>
            <w:u w:val="single"/>
          </w:rPr>
          <w:t>General Admission Criteria</w:t>
        </w:r>
      </w:hyperlink>
    </w:p>
    <w:p w:rsidR="001F2C52" w:rsidRPr="001F2C52" w:rsidRDefault="00C22B78" w:rsidP="001F2C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anchor="fees" w:history="1">
        <w:r w:rsidR="001F2C52" w:rsidRPr="001F2C52">
          <w:rPr>
            <w:rFonts w:ascii="Times New Roman" w:eastAsia="Times New Roman" w:hAnsi="Times New Roman" w:cs="Times New Roman"/>
            <w:color w:val="0000FF"/>
            <w:sz w:val="24"/>
            <w:szCs w:val="24"/>
            <w:u w:val="single"/>
          </w:rPr>
          <w:t>Programme Fees</w:t>
        </w:r>
      </w:hyperlink>
    </w:p>
    <w:p w:rsidR="001F2C52" w:rsidRPr="001F2C52" w:rsidRDefault="00C22B78" w:rsidP="001F2C5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anchor="contact" w:history="1">
        <w:r w:rsidR="001F2C52" w:rsidRPr="001F2C52">
          <w:rPr>
            <w:rFonts w:ascii="Times New Roman" w:eastAsia="Times New Roman" w:hAnsi="Times New Roman" w:cs="Times New Roman"/>
            <w:color w:val="0000FF"/>
            <w:sz w:val="24"/>
            <w:szCs w:val="24"/>
            <w:u w:val="single"/>
          </w:rPr>
          <w:t>Contact Us</w:t>
        </w:r>
      </w:hyperlink>
    </w:p>
    <w:p w:rsidR="001F2C52" w:rsidRPr="001F2C52" w:rsidRDefault="00C22B78" w:rsidP="001F2C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F2C52" w:rsidRPr="001F2C52" w:rsidRDefault="001F2C52" w:rsidP="001F2C5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programme"/>
      <w:bookmarkEnd w:id="0"/>
      <w:r w:rsidRPr="001F2C52">
        <w:rPr>
          <w:rFonts w:ascii="Times New Roman" w:eastAsia="Times New Roman" w:hAnsi="Times New Roman" w:cs="Times New Roman"/>
          <w:b/>
          <w:bCs/>
          <w:kern w:val="36"/>
          <w:sz w:val="48"/>
          <w:szCs w:val="48"/>
        </w:rPr>
        <w:t>Programme &amp; Curriculum Structure</w:t>
      </w:r>
    </w:p>
    <w:p w:rsidR="001F2C52" w:rsidRPr="001F2C52" w:rsidRDefault="001F2C52" w:rsidP="00C22B78">
      <w:pPr>
        <w:spacing w:before="100" w:beforeAutospacing="1" w:after="100" w:afterAutospacing="1" w:line="240" w:lineRule="auto"/>
        <w:jc w:val="both"/>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The MSc in FinTech Programme is an intensive </w:t>
      </w:r>
      <w:r w:rsidRPr="001F2C52">
        <w:rPr>
          <w:rFonts w:ascii="Times New Roman" w:eastAsia="Times New Roman" w:hAnsi="Times New Roman" w:cs="Times New Roman"/>
          <w:b/>
          <w:bCs/>
          <w:sz w:val="24"/>
          <w:szCs w:val="24"/>
        </w:rPr>
        <w:t>1-year full-time or 2-year part-time</w:t>
      </w:r>
      <w:r w:rsidRPr="001F2C52">
        <w:rPr>
          <w:rFonts w:ascii="Times New Roman" w:eastAsia="Times New Roman" w:hAnsi="Times New Roman" w:cs="Times New Roman"/>
          <w:sz w:val="24"/>
          <w:szCs w:val="24"/>
        </w:rPr>
        <w:t xml:space="preserve"> programme by coursework taught in 3 trimesters per year. The curriculum consists of two tracks: </w:t>
      </w:r>
      <w:r w:rsidRPr="001F2C52">
        <w:rPr>
          <w:rFonts w:ascii="Times New Roman" w:eastAsia="Times New Roman" w:hAnsi="Times New Roman" w:cs="Times New Roman"/>
          <w:i/>
          <w:iCs/>
          <w:sz w:val="24"/>
          <w:szCs w:val="24"/>
        </w:rPr>
        <w:t>Artificial Intelligence</w:t>
      </w:r>
      <w:r w:rsidRPr="001F2C52">
        <w:rPr>
          <w:rFonts w:ascii="Times New Roman" w:eastAsia="Times New Roman" w:hAnsi="Times New Roman" w:cs="Times New Roman"/>
          <w:sz w:val="24"/>
          <w:szCs w:val="24"/>
        </w:rPr>
        <w:t xml:space="preserve"> and </w:t>
      </w:r>
      <w:r w:rsidRPr="001F2C52">
        <w:rPr>
          <w:rFonts w:ascii="Times New Roman" w:eastAsia="Times New Roman" w:hAnsi="Times New Roman" w:cs="Times New Roman"/>
          <w:i/>
          <w:iCs/>
          <w:sz w:val="24"/>
          <w:szCs w:val="24"/>
        </w:rPr>
        <w:t>Operations and Compliance</w:t>
      </w:r>
      <w:r w:rsidRPr="001F2C52">
        <w:rPr>
          <w:rFonts w:ascii="Times New Roman" w:eastAsia="Times New Roman" w:hAnsi="Times New Roman" w:cs="Times New Roman"/>
          <w:sz w:val="24"/>
          <w:szCs w:val="24"/>
        </w:rPr>
        <w:t xml:space="preserve">. ​​The courses in the MSc in FinTech programme are delivered in intensive periods of 7 weeks. In other words, each trimester is split into two halves. All courses are conducted at </w:t>
      </w:r>
      <w:r w:rsidRPr="001F2C52">
        <w:rPr>
          <w:rFonts w:ascii="Times New Roman" w:eastAsia="Times New Roman" w:hAnsi="Times New Roman" w:cs="Times New Roman"/>
          <w:b/>
          <w:bCs/>
          <w:sz w:val="24"/>
          <w:szCs w:val="24"/>
        </w:rPr>
        <w:t>NTU (main campus)</w:t>
      </w:r>
      <w:r w:rsidRPr="001F2C52">
        <w:rPr>
          <w:rFonts w:ascii="Times New Roman" w:eastAsia="Times New Roman" w:hAnsi="Times New Roman" w:cs="Times New Roman"/>
          <w:sz w:val="24"/>
          <w:szCs w:val="24"/>
        </w:rPr>
        <w:t xml:space="preserve"> in the evenings of weekdays or Saturdays.</w:t>
      </w:r>
    </w:p>
    <w:p w:rsidR="001F2C52" w:rsidRPr="001F2C52" w:rsidRDefault="001F2C52" w:rsidP="001F2C52">
      <w:pPr>
        <w:spacing w:before="100" w:beforeAutospacing="1" w:after="100" w:afterAutospacing="1" w:line="336" w:lineRule="atLeast"/>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The programme consists a total of </w:t>
      </w:r>
      <w:r w:rsidRPr="001F2C52">
        <w:rPr>
          <w:rFonts w:ascii="Times New Roman" w:eastAsia="Times New Roman" w:hAnsi="Times New Roman" w:cs="Times New Roman"/>
          <w:b/>
          <w:bCs/>
          <w:sz w:val="24"/>
          <w:szCs w:val="24"/>
        </w:rPr>
        <w:t>33 Academic Units (AUs)</w:t>
      </w:r>
      <w:r w:rsidRPr="001F2C52">
        <w:rPr>
          <w:rFonts w:ascii="Times New Roman" w:eastAsia="Times New Roman" w:hAnsi="Times New Roman" w:cs="Times New Roman"/>
          <w:sz w:val="24"/>
          <w:szCs w:val="24"/>
        </w:rPr>
        <w:t>, with 21 AUs of compulsory modules, 6 AUs from the chosen track's electives, and 6 AUs from other electives:</w:t>
      </w:r>
    </w:p>
    <w:tbl>
      <w:tblPr>
        <w:tblW w:w="7950" w:type="dxa"/>
        <w:tblInd w:w="1710" w:type="dxa"/>
        <w:tblCellMar>
          <w:left w:w="0" w:type="dxa"/>
          <w:right w:w="0" w:type="dxa"/>
        </w:tblCellMar>
        <w:tblLook w:val="04A0" w:firstRow="1" w:lastRow="0" w:firstColumn="1" w:lastColumn="0" w:noHBand="0" w:noVBand="1"/>
      </w:tblPr>
      <w:tblGrid>
        <w:gridCol w:w="6505"/>
        <w:gridCol w:w="1445"/>
      </w:tblGrid>
      <w:tr w:rsidR="001F2C52" w:rsidRPr="001F2C52" w:rsidTr="001F2C52">
        <w:trPr>
          <w:trHeight w:val="195"/>
        </w:trPr>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bookmarkStart w:id="1" w:name="compulsory-courses"/>
            <w:bookmarkEnd w:id="1"/>
            <w:r w:rsidRPr="001F2C52">
              <w:rPr>
                <w:rFonts w:ascii="Arial" w:eastAsia="Times New Roman" w:hAnsi="Arial" w:cs="Arial"/>
                <w:sz w:val="21"/>
                <w:szCs w:val="21"/>
              </w:rPr>
              <w:t>Compulsory courses</w:t>
            </w:r>
          </w:p>
        </w:tc>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r w:rsidRPr="001F2C52">
              <w:rPr>
                <w:rFonts w:ascii="Arial" w:eastAsia="Times New Roman" w:hAnsi="Arial" w:cs="Arial"/>
                <w:sz w:val="21"/>
                <w:szCs w:val="21"/>
              </w:rPr>
              <w:t>21 AUs</w:t>
            </w:r>
          </w:p>
        </w:tc>
      </w:tr>
      <w:tr w:rsidR="001F2C52" w:rsidRPr="001F2C52" w:rsidTr="001F2C52">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r w:rsidRPr="001F2C52">
              <w:rPr>
                <w:rFonts w:ascii="Arial" w:eastAsia="Times New Roman" w:hAnsi="Arial" w:cs="Arial"/>
                <w:sz w:val="21"/>
                <w:szCs w:val="21"/>
              </w:rPr>
              <w:t>Prescribed Electives of the chosen track</w:t>
            </w:r>
          </w:p>
        </w:tc>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r w:rsidRPr="001F2C52">
              <w:rPr>
                <w:rFonts w:ascii="Arial" w:eastAsia="Times New Roman" w:hAnsi="Arial" w:cs="Arial"/>
                <w:sz w:val="21"/>
                <w:szCs w:val="21"/>
              </w:rPr>
              <w:t>6 AUs</w:t>
            </w:r>
          </w:p>
        </w:tc>
      </w:tr>
      <w:tr w:rsidR="001F2C52" w:rsidRPr="001F2C52" w:rsidTr="001F2C52">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r w:rsidRPr="001F2C52">
              <w:rPr>
                <w:rFonts w:ascii="Arial" w:eastAsia="Times New Roman" w:hAnsi="Arial" w:cs="Arial"/>
                <w:sz w:val="21"/>
                <w:szCs w:val="21"/>
              </w:rPr>
              <w:t>Unrestricted Electives</w:t>
            </w:r>
          </w:p>
        </w:tc>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r w:rsidRPr="001F2C52">
              <w:rPr>
                <w:rFonts w:ascii="Arial" w:eastAsia="Times New Roman" w:hAnsi="Arial" w:cs="Arial"/>
                <w:sz w:val="21"/>
                <w:szCs w:val="21"/>
              </w:rPr>
              <w:t>6 AUs</w:t>
            </w:r>
          </w:p>
        </w:tc>
      </w:tr>
      <w:tr w:rsidR="001F2C52" w:rsidRPr="001F2C52" w:rsidTr="001F2C52">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r w:rsidRPr="001F2C52">
              <w:rPr>
                <w:rFonts w:ascii="Arial" w:eastAsia="Times New Roman" w:hAnsi="Arial" w:cs="Arial"/>
                <w:b/>
                <w:bCs/>
                <w:sz w:val="21"/>
                <w:szCs w:val="21"/>
                <w:bdr w:val="none" w:sz="0" w:space="0" w:color="auto" w:frame="1"/>
              </w:rPr>
              <w:t>Total graduation requirements</w:t>
            </w:r>
          </w:p>
        </w:tc>
        <w:tc>
          <w:tcPr>
            <w:tcW w:w="0" w:type="auto"/>
            <w:tcMar>
              <w:top w:w="75" w:type="dxa"/>
              <w:left w:w="75" w:type="dxa"/>
              <w:bottom w:w="75" w:type="dxa"/>
              <w:right w:w="75" w:type="dxa"/>
            </w:tcMar>
            <w:hideMark/>
          </w:tcPr>
          <w:p w:rsidR="001F2C52" w:rsidRPr="001F2C52" w:rsidRDefault="001F2C52" w:rsidP="001F2C52">
            <w:pPr>
              <w:spacing w:after="0" w:line="240" w:lineRule="atLeast"/>
              <w:jc w:val="center"/>
              <w:rPr>
                <w:rFonts w:ascii="Arial" w:eastAsia="Times New Roman" w:hAnsi="Arial" w:cs="Arial"/>
                <w:sz w:val="21"/>
                <w:szCs w:val="21"/>
              </w:rPr>
            </w:pPr>
            <w:r w:rsidRPr="001F2C52">
              <w:rPr>
                <w:rFonts w:ascii="Arial" w:eastAsia="Times New Roman" w:hAnsi="Arial" w:cs="Arial"/>
                <w:b/>
                <w:bCs/>
                <w:sz w:val="21"/>
                <w:szCs w:val="21"/>
                <w:bdr w:val="none" w:sz="0" w:space="0" w:color="auto" w:frame="1"/>
              </w:rPr>
              <w:t>33 AUs</w:t>
            </w:r>
          </w:p>
        </w:tc>
      </w:tr>
    </w:tbl>
    <w:p w:rsidR="001F2C52" w:rsidRPr="001F2C52" w:rsidRDefault="001F2C52" w:rsidP="001F2C52">
      <w:pPr>
        <w:spacing w:after="0" w:line="240" w:lineRule="auto"/>
        <w:rPr>
          <w:rFonts w:ascii="Times New Roman" w:eastAsia="Times New Roman" w:hAnsi="Times New Roman" w:cs="Times New Roman"/>
          <w:sz w:val="24"/>
          <w:szCs w:val="24"/>
        </w:rPr>
      </w:pPr>
    </w:p>
    <w:p w:rsidR="001F2C52" w:rsidRPr="001F2C52" w:rsidRDefault="001F2C52" w:rsidP="001F2C52">
      <w:pPr>
        <w:spacing w:before="100" w:beforeAutospacing="1" w:after="100" w:afterAutospacing="1" w:line="336" w:lineRule="atLeast"/>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The requirements for graduation are as follow:</w:t>
      </w:r>
    </w:p>
    <w:p w:rsidR="001F2C52" w:rsidRPr="001F2C52" w:rsidRDefault="001F2C52" w:rsidP="001F2C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​​Successful completion of all requirements as prescribed by the programme of study; and</w:t>
      </w:r>
    </w:p>
    <w:p w:rsidR="001F2C52" w:rsidRPr="001F2C52" w:rsidRDefault="001F2C52" w:rsidP="001F2C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A minimum CGPA of 2.50 is attained at the completion of the programme of study.​</w:t>
      </w:r>
    </w:p>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b/>
          <w:bCs/>
          <w:color w:val="303039"/>
          <w:sz w:val="36"/>
          <w:szCs w:val="36"/>
        </w:rPr>
        <w:t>Compulsory Courses</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MH8801 Introduction to ​FinTech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MH8802 FinTech Ecosystem and Innovations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MH8803 Principles of Finance and Risk Management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MH8131 Probability and Statistics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MH6151 Data Mining (3AU)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MH8804 Quantitative Methods in Finance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MH8805 Algorithmic Trading and Robo-Advisors (1.5AU)</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MH6808 Blockchain Systems and Applications (3AU)</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MH6809 Practicum (6AU) </w:t>
      </w:r>
    </w:p>
    <w:p w:rsidR="001F2C52" w:rsidRPr="001F2C52" w:rsidRDefault="001F2C52" w:rsidP="001F2C52">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electives"/>
      <w:bookmarkEnd w:id="2"/>
      <w:r w:rsidRPr="001F2C52">
        <w:rPr>
          <w:rFonts w:ascii="Times New Roman" w:eastAsia="Times New Roman" w:hAnsi="Times New Roman" w:cs="Times New Roman"/>
          <w:b/>
          <w:bCs/>
          <w:sz w:val="36"/>
          <w:szCs w:val="36"/>
        </w:rPr>
        <w:lastRenderedPageBreak/>
        <w:t>Artificial Intelligence Prescribed Elective Courses</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MH8101 Operations Research I (1.5AU)</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MH8811 Python Programming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MH6812 Advanced Natural Language Processing with Deep Learning (3 AU) </w:t>
      </w:r>
    </w:p>
    <w:p w:rsidR="001F2C52" w:rsidRPr="001F2C52" w:rsidRDefault="001F2C52" w:rsidP="001F2C52">
      <w:pPr>
        <w:spacing w:before="100" w:beforeAutospacing="1" w:after="100" w:afterAutospacing="1" w:line="240" w:lineRule="auto"/>
        <w:outlineLvl w:val="1"/>
        <w:rPr>
          <w:rFonts w:ascii="Times New Roman" w:eastAsia="Times New Roman" w:hAnsi="Times New Roman" w:cs="Times New Roman"/>
          <w:b/>
          <w:bCs/>
          <w:sz w:val="36"/>
          <w:szCs w:val="36"/>
        </w:rPr>
      </w:pPr>
      <w:r w:rsidRPr="001F2C52">
        <w:rPr>
          <w:rFonts w:ascii="Times New Roman" w:eastAsia="Times New Roman" w:hAnsi="Times New Roman" w:cs="Times New Roman"/>
          <w:b/>
          <w:bCs/>
          <w:sz w:val="36"/>
          <w:szCs w:val="36"/>
        </w:rPr>
        <w:t>Operations and Compliance Prescribed Elective Courses</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MH8822 Regulatory Technology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MH8821 Anti-Financial Crime and Compliance (1.5AU)</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MH8331 Financial and Risk Analytics I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MH8332 Financial and Risk Analytics II (1.5AU)</w:t>
      </w:r>
    </w:p>
    <w:p w:rsidR="001F2C52" w:rsidRPr="001F2C52" w:rsidRDefault="001F2C52" w:rsidP="001F2C52">
      <w:pPr>
        <w:spacing w:before="100" w:beforeAutospacing="1" w:after="100" w:afterAutospacing="1" w:line="240" w:lineRule="auto"/>
        <w:outlineLvl w:val="1"/>
        <w:rPr>
          <w:rFonts w:ascii="Times New Roman" w:eastAsia="Times New Roman" w:hAnsi="Times New Roman" w:cs="Times New Roman"/>
          <w:b/>
          <w:bCs/>
          <w:sz w:val="36"/>
          <w:szCs w:val="36"/>
        </w:rPr>
      </w:pPr>
      <w:r w:rsidRPr="001F2C52">
        <w:rPr>
          <w:rFonts w:ascii="Times New Roman" w:eastAsia="Times New Roman" w:hAnsi="Times New Roman" w:cs="Times New Roman"/>
          <w:b/>
          <w:bCs/>
          <w:sz w:val="36"/>
          <w:szCs w:val="36"/>
        </w:rPr>
        <w:t>Unrestricted Elective Courses</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MH8102 Operations Research II (1.5AU)</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MH8141 Time Series Analysis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MH8341 Data Management and Business Intelligence (1.5AU)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MH6301 Information Retrieval and Analysis (3AU) </w:t>
      </w:r>
    </w:p>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MH8831 Applied Cryptography </w:t>
      </w:r>
    </w:p>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Note: Prescribed Elective courses of one track could be Unrestricted Elective courses of another track. On average, full-time students take </w:t>
      </w:r>
      <w:r w:rsidRPr="001F2C52">
        <w:rPr>
          <w:rFonts w:ascii="Times New Roman" w:eastAsia="Times New Roman" w:hAnsi="Times New Roman" w:cs="Times New Roman"/>
          <w:b/>
          <w:bCs/>
          <w:sz w:val="24"/>
          <w:szCs w:val="24"/>
        </w:rPr>
        <w:t>4-5</w:t>
      </w:r>
      <w:r w:rsidRPr="001F2C52">
        <w:rPr>
          <w:rFonts w:ascii="Times New Roman" w:eastAsia="Times New Roman" w:hAnsi="Times New Roman" w:cs="Times New Roman"/>
          <w:sz w:val="24"/>
          <w:szCs w:val="24"/>
        </w:rPr>
        <w:t xml:space="preserve"> classes a week and part-time students take </w:t>
      </w:r>
      <w:r w:rsidRPr="001F2C52">
        <w:rPr>
          <w:rFonts w:ascii="Times New Roman" w:eastAsia="Times New Roman" w:hAnsi="Times New Roman" w:cs="Times New Roman"/>
          <w:b/>
          <w:bCs/>
          <w:sz w:val="24"/>
          <w:szCs w:val="24"/>
        </w:rPr>
        <w:t>2-3</w:t>
      </w:r>
      <w:r w:rsidRPr="001F2C52">
        <w:rPr>
          <w:rFonts w:ascii="Times New Roman" w:eastAsia="Times New Roman" w:hAnsi="Times New Roman" w:cs="Times New Roman"/>
          <w:sz w:val="24"/>
          <w:szCs w:val="24"/>
        </w:rPr>
        <w:t xml:space="preserve"> classes a week.</w:t>
      </w:r>
    </w:p>
    <w:p w:rsidR="001F2C52" w:rsidRPr="001F2C52" w:rsidRDefault="001F2C52" w:rsidP="001F2C52">
      <w:pPr>
        <w:spacing w:before="100" w:beforeAutospacing="1" w:after="75" w:line="240" w:lineRule="auto"/>
        <w:outlineLvl w:val="0"/>
        <w:rPr>
          <w:rFonts w:ascii="Times New Roman" w:eastAsia="Times New Roman" w:hAnsi="Times New Roman" w:cs="Times New Roman"/>
          <w:b/>
          <w:bCs/>
          <w:kern w:val="36"/>
          <w:sz w:val="48"/>
          <w:szCs w:val="48"/>
        </w:rPr>
      </w:pPr>
      <w:bookmarkStart w:id="3" w:name="timeline"/>
      <w:bookmarkEnd w:id="3"/>
      <w:r w:rsidRPr="001F2C52">
        <w:rPr>
          <w:rFonts w:ascii="Times New Roman" w:eastAsia="Times New Roman" w:hAnsi="Times New Roman" w:cs="Times New Roman"/>
          <w:b/>
          <w:bCs/>
          <w:kern w:val="36"/>
          <w:sz w:val="48"/>
          <w:szCs w:val="48"/>
        </w:rPr>
        <w:t>Academic Timeline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104"/>
        <w:gridCol w:w="2105"/>
        <w:gridCol w:w="5421"/>
      </w:tblGrid>
      <w:tr w:rsidR="001F2C52" w:rsidRPr="001F2C52" w:rsidTr="001F2C52">
        <w:trPr>
          <w:tblCellSpacing w:w="0" w:type="dxa"/>
        </w:trPr>
        <w:tc>
          <w:tcPr>
            <w:tcW w:w="1250" w:type="pct"/>
            <w:vMerge w:val="restar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7"/>
                <w:szCs w:val="27"/>
              </w:rPr>
              <w:t>Trimester 1</w:t>
            </w:r>
            <w:r w:rsidRPr="001F2C52">
              <w:rPr>
                <w:rFonts w:ascii="Verdana" w:eastAsia="Times New Roman" w:hAnsi="Verdana" w:cs="Times New Roman"/>
                <w:sz w:val="27"/>
                <w:szCs w:val="27"/>
              </w:rPr>
              <w:br/>
              <w:t>(Indicative)</w:t>
            </w:r>
          </w:p>
        </w:tc>
        <w:tc>
          <w:tcPr>
            <w:tcW w:w="1250" w:type="pc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1st Half</w:t>
            </w:r>
          </w:p>
        </w:tc>
        <w:tc>
          <w:tcPr>
            <w:tcW w:w="0" w:type="auto"/>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24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20 July 2020 to 6 September 2020 (7 weeks)</w:t>
            </w:r>
          </w:p>
        </w:tc>
      </w:tr>
      <w:tr w:rsidR="001F2C52" w:rsidRPr="001F2C52" w:rsidTr="001F2C5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rPr>
                <w:rFonts w:ascii="Verdana" w:eastAsia="Times New Roman" w:hAnsi="Verdana" w:cs="Times New Roman"/>
                <w:sz w:val="21"/>
                <w:szCs w:val="21"/>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2nd Half</w:t>
            </w:r>
          </w:p>
        </w:tc>
        <w:tc>
          <w:tcPr>
            <w:tcW w:w="0" w:type="auto"/>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7 September 2020 to 25 October 2020 (7 weeks)</w:t>
            </w:r>
            <w:r w:rsidRPr="001F2C52">
              <w:rPr>
                <w:rFonts w:ascii="Verdana" w:eastAsia="Times New Roman" w:hAnsi="Verdana" w:cs="Times New Roman"/>
                <w:sz w:val="21"/>
                <w:szCs w:val="21"/>
              </w:rPr>
              <w:br/>
            </w:r>
            <w:r w:rsidRPr="001F2C52">
              <w:rPr>
                <w:rFonts w:ascii="Verdana" w:eastAsia="Times New Roman" w:hAnsi="Verdana" w:cs="Times New Roman"/>
                <w:sz w:val="21"/>
                <w:szCs w:val="21"/>
              </w:rPr>
              <w:br/>
            </w:r>
            <w:r w:rsidRPr="001F2C52">
              <w:rPr>
                <w:rFonts w:ascii="Verdana" w:eastAsia="Times New Roman" w:hAnsi="Verdana" w:cs="Times New Roman"/>
                <w:i/>
                <w:iCs/>
                <w:sz w:val="21"/>
                <w:szCs w:val="21"/>
              </w:rPr>
              <w:t>Recess: 26 October 2020 to 1 November 2020 (1 week)</w:t>
            </w:r>
          </w:p>
        </w:tc>
      </w:tr>
      <w:tr w:rsidR="001F2C52" w:rsidRPr="001F2C52" w:rsidTr="001F2C52">
        <w:trPr>
          <w:tblCellSpacing w:w="0" w:type="dxa"/>
        </w:trPr>
        <w:tc>
          <w:tcPr>
            <w:tcW w:w="1250" w:type="pct"/>
            <w:vMerge w:val="restar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7"/>
                <w:szCs w:val="27"/>
              </w:rPr>
              <w:t>Trimester 2</w:t>
            </w:r>
            <w:r w:rsidRPr="001F2C52">
              <w:rPr>
                <w:rFonts w:ascii="Verdana" w:eastAsia="Times New Roman" w:hAnsi="Verdana" w:cs="Times New Roman"/>
                <w:sz w:val="27"/>
                <w:szCs w:val="27"/>
              </w:rPr>
              <w:br/>
              <w:t>(Indicative)</w:t>
            </w:r>
          </w:p>
        </w:tc>
        <w:tc>
          <w:tcPr>
            <w:tcW w:w="1250" w:type="pc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1st Half</w:t>
            </w:r>
          </w:p>
        </w:tc>
        <w:tc>
          <w:tcPr>
            <w:tcW w:w="0" w:type="auto"/>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2 November 2020 to 20 December 2020 (7 weeks)</w:t>
            </w:r>
            <w:r w:rsidRPr="001F2C52">
              <w:rPr>
                <w:rFonts w:ascii="Verdana" w:eastAsia="Times New Roman" w:hAnsi="Verdana" w:cs="Times New Roman"/>
                <w:sz w:val="21"/>
                <w:szCs w:val="21"/>
              </w:rPr>
              <w:br/>
            </w:r>
            <w:r w:rsidRPr="001F2C52">
              <w:rPr>
                <w:rFonts w:ascii="Verdana" w:eastAsia="Times New Roman" w:hAnsi="Verdana" w:cs="Times New Roman"/>
                <w:sz w:val="21"/>
                <w:szCs w:val="21"/>
              </w:rPr>
              <w:br/>
            </w:r>
            <w:r w:rsidRPr="001F2C52">
              <w:rPr>
                <w:rFonts w:ascii="Verdana" w:eastAsia="Times New Roman" w:hAnsi="Verdana" w:cs="Times New Roman"/>
                <w:i/>
                <w:iCs/>
                <w:sz w:val="21"/>
                <w:szCs w:val="21"/>
              </w:rPr>
              <w:t>Recess: 21 December 2020 to 3 January 2021 (2 weeks)</w:t>
            </w:r>
          </w:p>
        </w:tc>
      </w:tr>
      <w:tr w:rsidR="001F2C52" w:rsidRPr="001F2C52" w:rsidTr="001F2C5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rPr>
                <w:rFonts w:ascii="Verdana" w:eastAsia="Times New Roman" w:hAnsi="Verdana" w:cs="Times New Roman"/>
                <w:sz w:val="21"/>
                <w:szCs w:val="21"/>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2nd Half</w:t>
            </w:r>
          </w:p>
        </w:tc>
        <w:tc>
          <w:tcPr>
            <w:tcW w:w="0" w:type="auto"/>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4 January 2021 to 21 February 2021 (7 weeks)</w:t>
            </w:r>
            <w:r w:rsidRPr="001F2C52">
              <w:rPr>
                <w:rFonts w:ascii="Verdana" w:eastAsia="Times New Roman" w:hAnsi="Verdana" w:cs="Times New Roman"/>
                <w:sz w:val="21"/>
                <w:szCs w:val="21"/>
              </w:rPr>
              <w:br/>
            </w:r>
            <w:r w:rsidRPr="001F2C52">
              <w:rPr>
                <w:rFonts w:ascii="Verdana" w:eastAsia="Times New Roman" w:hAnsi="Verdana" w:cs="Times New Roman"/>
                <w:sz w:val="21"/>
                <w:szCs w:val="21"/>
              </w:rPr>
              <w:br/>
            </w:r>
            <w:r w:rsidRPr="001F2C52">
              <w:rPr>
                <w:rFonts w:ascii="Verdana" w:eastAsia="Times New Roman" w:hAnsi="Verdana" w:cs="Times New Roman"/>
                <w:i/>
                <w:iCs/>
                <w:sz w:val="21"/>
                <w:szCs w:val="21"/>
              </w:rPr>
              <w:t xml:space="preserve">Recess: </w:t>
            </w:r>
            <w:r w:rsidRPr="001F2C52">
              <w:rPr>
                <w:rFonts w:ascii="Verdana" w:eastAsia="Times New Roman" w:hAnsi="Verdana" w:cs="Times New Roman"/>
                <w:i/>
                <w:iCs/>
                <w:sz w:val="21"/>
                <w:szCs w:val="21"/>
              </w:rPr>
              <w:lastRenderedPageBreak/>
              <w:t>22 February 2021 to 28 February 2021 (1 week)</w:t>
            </w:r>
          </w:p>
        </w:tc>
      </w:tr>
      <w:tr w:rsidR="001F2C52" w:rsidRPr="001F2C52" w:rsidTr="001F2C52">
        <w:trPr>
          <w:tblCellSpacing w:w="0" w:type="dxa"/>
        </w:trPr>
        <w:tc>
          <w:tcPr>
            <w:tcW w:w="1250" w:type="pct"/>
            <w:vMerge w:val="restar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7"/>
                <w:szCs w:val="27"/>
              </w:rPr>
              <w:lastRenderedPageBreak/>
              <w:t>Trimester 3</w:t>
            </w:r>
            <w:r w:rsidRPr="001F2C52">
              <w:rPr>
                <w:rFonts w:ascii="Verdana" w:eastAsia="Times New Roman" w:hAnsi="Verdana" w:cs="Times New Roman"/>
                <w:sz w:val="27"/>
                <w:szCs w:val="27"/>
              </w:rPr>
              <w:br/>
              <w:t>(Indicative)</w:t>
            </w:r>
          </w:p>
        </w:tc>
        <w:tc>
          <w:tcPr>
            <w:tcW w:w="1250" w:type="pc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1st Half</w:t>
            </w:r>
          </w:p>
        </w:tc>
        <w:tc>
          <w:tcPr>
            <w:tcW w:w="0" w:type="auto"/>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240" w:line="240" w:lineRule="auto"/>
              <w:jc w:val="center"/>
              <w:rPr>
                <w:rFonts w:ascii="Verdana" w:eastAsia="Times New Roman" w:hAnsi="Verdana" w:cs="Times New Roman"/>
                <w:sz w:val="21"/>
                <w:szCs w:val="21"/>
              </w:rPr>
            </w:pPr>
            <w:r w:rsidRPr="001F2C52">
              <w:rPr>
                <w:rFonts w:ascii="Verdana" w:eastAsia="Times New Roman" w:hAnsi="Verdana" w:cs="Times New Roman"/>
                <w:sz w:val="21"/>
                <w:szCs w:val="21"/>
              </w:rPr>
              <w:t>1 March 2021 to 18 April 2021 (7 weeks)</w:t>
            </w:r>
          </w:p>
        </w:tc>
      </w:tr>
      <w:tr w:rsidR="001F2C52" w:rsidRPr="001F2C52" w:rsidTr="001F2C5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rPr>
                <w:rFonts w:ascii="Verdana" w:eastAsia="Times New Roman" w:hAnsi="Verdana" w:cs="Times New Roman"/>
                <w:sz w:val="21"/>
                <w:szCs w:val="21"/>
              </w:rPr>
            </w:pPr>
          </w:p>
        </w:tc>
        <w:tc>
          <w:tcPr>
            <w:tcW w:w="1250" w:type="pct"/>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18"/>
                <w:szCs w:val="18"/>
              </w:rPr>
            </w:pPr>
            <w:r w:rsidRPr="001F2C52">
              <w:rPr>
                <w:rFonts w:ascii="Verdana" w:eastAsia="Times New Roman" w:hAnsi="Verdana" w:cs="Times New Roman"/>
                <w:sz w:val="18"/>
                <w:szCs w:val="18"/>
              </w:rPr>
              <w:t>2nd Half</w:t>
            </w:r>
          </w:p>
        </w:tc>
        <w:tc>
          <w:tcPr>
            <w:tcW w:w="0" w:type="auto"/>
            <w:tcBorders>
              <w:top w:val="outset" w:sz="6" w:space="0" w:color="auto"/>
              <w:left w:val="outset" w:sz="6" w:space="0" w:color="auto"/>
              <w:bottom w:val="outset" w:sz="6" w:space="0" w:color="auto"/>
              <w:right w:val="outset" w:sz="6" w:space="0" w:color="auto"/>
            </w:tcBorders>
            <w:vAlign w:val="center"/>
            <w:hideMark/>
          </w:tcPr>
          <w:p w:rsidR="001F2C52" w:rsidRPr="001F2C52" w:rsidRDefault="001F2C52" w:rsidP="001F2C52">
            <w:pPr>
              <w:spacing w:after="0" w:line="240" w:lineRule="auto"/>
              <w:jc w:val="center"/>
              <w:rPr>
                <w:rFonts w:ascii="Verdana" w:eastAsia="Times New Roman" w:hAnsi="Verdana" w:cs="Times New Roman"/>
                <w:sz w:val="18"/>
                <w:szCs w:val="18"/>
              </w:rPr>
            </w:pPr>
            <w:r w:rsidRPr="001F2C52">
              <w:rPr>
                <w:rFonts w:ascii="Verdana" w:eastAsia="Times New Roman" w:hAnsi="Verdana" w:cs="Times New Roman"/>
                <w:sz w:val="18"/>
                <w:szCs w:val="18"/>
              </w:rPr>
              <w:t>19 April 2021 to 30 May 2021 (6 weeks)</w:t>
            </w:r>
            <w:r w:rsidRPr="001F2C52">
              <w:rPr>
                <w:rFonts w:ascii="Verdana" w:eastAsia="Times New Roman" w:hAnsi="Verdana" w:cs="Times New Roman"/>
                <w:sz w:val="18"/>
                <w:szCs w:val="18"/>
              </w:rPr>
              <w:br/>
            </w:r>
            <w:r w:rsidRPr="001F2C52">
              <w:rPr>
                <w:rFonts w:ascii="Verdana" w:eastAsia="Times New Roman" w:hAnsi="Verdana" w:cs="Times New Roman"/>
                <w:sz w:val="18"/>
                <w:szCs w:val="18"/>
              </w:rPr>
              <w:br/>
            </w:r>
            <w:r w:rsidRPr="001F2C52">
              <w:rPr>
                <w:rFonts w:ascii="Verdana" w:eastAsia="Times New Roman" w:hAnsi="Verdana" w:cs="Times New Roman"/>
                <w:i/>
                <w:iCs/>
                <w:sz w:val="18"/>
                <w:szCs w:val="18"/>
              </w:rPr>
              <w:t>Recess: 31 May 2021 to 19 July 2021 (7 weeks)</w:t>
            </w:r>
          </w:p>
        </w:tc>
      </w:tr>
    </w:tbl>
    <w:p w:rsidR="001F2C52" w:rsidRPr="001F2C52" w:rsidRDefault="001F2C52" w:rsidP="001F2C52">
      <w:pPr>
        <w:spacing w:before="225" w:after="100" w:afterAutospacing="1" w:line="240" w:lineRule="auto"/>
        <w:outlineLvl w:val="0"/>
        <w:rPr>
          <w:rFonts w:ascii="Times New Roman" w:eastAsia="Times New Roman" w:hAnsi="Times New Roman" w:cs="Times New Roman"/>
          <w:b/>
          <w:bCs/>
          <w:kern w:val="36"/>
          <w:sz w:val="48"/>
          <w:szCs w:val="48"/>
        </w:rPr>
      </w:pPr>
      <w:bookmarkStart w:id="4" w:name="admission"/>
      <w:bookmarkEnd w:id="4"/>
      <w:r w:rsidRPr="001F2C52">
        <w:rPr>
          <w:rFonts w:ascii="Times New Roman" w:eastAsia="Times New Roman" w:hAnsi="Times New Roman" w:cs="Times New Roman"/>
          <w:b/>
          <w:bCs/>
          <w:kern w:val="36"/>
          <w:sz w:val="48"/>
          <w:szCs w:val="48"/>
        </w:rPr>
        <w:t>General Admission Criteria</w:t>
      </w:r>
    </w:p>
    <w:p w:rsidR="001F2C52" w:rsidRPr="001F2C52" w:rsidRDefault="001F2C52" w:rsidP="001F2C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b/>
          <w:bCs/>
          <w:sz w:val="24"/>
          <w:szCs w:val="24"/>
        </w:rPr>
        <w:t>A good Bachelor's Degree</w:t>
      </w:r>
      <w:r w:rsidRPr="001F2C52">
        <w:rPr>
          <w:rFonts w:ascii="Times New Roman" w:eastAsia="Times New Roman" w:hAnsi="Times New Roman" w:cs="Times New Roman"/>
          <w:sz w:val="24"/>
          <w:szCs w:val="24"/>
        </w:rPr>
        <w:t xml:space="preserve"> in a relevant programme, e.g. quantitative majors, business, etc.</w:t>
      </w:r>
    </w:p>
    <w:p w:rsidR="001F2C52" w:rsidRPr="001F2C52" w:rsidRDefault="001F2C52" w:rsidP="001F2C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b/>
          <w:bCs/>
          <w:sz w:val="24"/>
          <w:szCs w:val="24"/>
        </w:rPr>
        <w:t>A good TOEFL score</w:t>
      </w:r>
      <w:r w:rsidRPr="001F2C52">
        <w:rPr>
          <w:rFonts w:ascii="Times New Roman" w:eastAsia="Times New Roman" w:hAnsi="Times New Roman" w:cs="Times New Roman"/>
          <w:sz w:val="24"/>
          <w:szCs w:val="24"/>
        </w:rPr>
        <w:t xml:space="preserve"> (iBT = 92 or more, PBT = 580 or more, CBT = 235 or more) or </w:t>
      </w:r>
      <w:r w:rsidRPr="001F2C52">
        <w:rPr>
          <w:rFonts w:ascii="Times New Roman" w:eastAsia="Times New Roman" w:hAnsi="Times New Roman" w:cs="Times New Roman"/>
          <w:b/>
          <w:bCs/>
          <w:sz w:val="24"/>
          <w:szCs w:val="24"/>
        </w:rPr>
        <w:t>IELTS score</w:t>
      </w:r>
      <w:r w:rsidRPr="001F2C52">
        <w:rPr>
          <w:rFonts w:ascii="Times New Roman" w:eastAsia="Times New Roman" w:hAnsi="Times New Roman" w:cs="Times New Roman"/>
          <w:sz w:val="24"/>
          <w:szCs w:val="24"/>
        </w:rPr>
        <w:t xml:space="preserve"> (6.5 or more) for graduates of universities in which English is not the medium of instruction.</w:t>
      </w:r>
    </w:p>
    <w:p w:rsidR="001F2C52" w:rsidRPr="001F2C52" w:rsidRDefault="001F2C52" w:rsidP="001F2C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A good GRE or GMAT score is preferred (Graduates from autonomous universities in Singapore are exempted).</w:t>
      </w:r>
    </w:p>
    <w:p w:rsidR="001F2C52" w:rsidRPr="001F2C52" w:rsidRDefault="001F2C52" w:rsidP="001F2C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A minimum of two years of relevant working experience is preferred.</w:t>
      </w:r>
    </w:p>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Applicants can send their GMAT and GRE score to us with the following program code:</w:t>
      </w:r>
    </w:p>
    <w:tbl>
      <w:tblPr>
        <w:tblW w:w="5000" w:type="pct"/>
        <w:jc w:val="center"/>
        <w:tblCellSpacing w:w="0" w:type="dxa"/>
        <w:tblBorders>
          <w:top w:val="outset" w:sz="6" w:space="0" w:color="FFFFFF"/>
          <w:left w:val="outset" w:sz="6" w:space="0" w:color="FFFFFF"/>
          <w:bottom w:val="outset" w:sz="6" w:space="0" w:color="FFFFFF"/>
          <w:right w:val="outset" w:sz="6" w:space="0" w:color="FFFFFF"/>
        </w:tblBorders>
        <w:tblCellMar>
          <w:top w:w="75" w:type="dxa"/>
          <w:left w:w="75" w:type="dxa"/>
          <w:bottom w:w="75" w:type="dxa"/>
          <w:right w:w="75" w:type="dxa"/>
        </w:tblCellMar>
        <w:tblLook w:val="04A0" w:firstRow="1" w:lastRow="0" w:firstColumn="1" w:lastColumn="0" w:noHBand="0" w:noVBand="1"/>
      </w:tblPr>
      <w:tblGrid>
        <w:gridCol w:w="7632"/>
        <w:gridCol w:w="1908"/>
      </w:tblGrid>
      <w:tr w:rsidR="001F2C52" w:rsidRPr="001F2C52" w:rsidTr="001F2C52">
        <w:trPr>
          <w:trHeight w:val="300"/>
          <w:tblHeader/>
          <w:tblCellSpacing w:w="0" w:type="dxa"/>
          <w:jc w:val="center"/>
        </w:trPr>
        <w:tc>
          <w:tcPr>
            <w:tcW w:w="4000" w:type="pct"/>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b/>
                <w:bCs/>
                <w:sz w:val="21"/>
                <w:szCs w:val="21"/>
              </w:rPr>
            </w:pPr>
            <w:r w:rsidRPr="001F2C52">
              <w:rPr>
                <w:rFonts w:ascii="Times New Roman" w:eastAsia="Times New Roman" w:hAnsi="Times New Roman" w:cs="Times New Roman"/>
                <w:b/>
                <w:bCs/>
                <w:sz w:val="21"/>
                <w:szCs w:val="21"/>
              </w:rPr>
              <w:t>Program</w:t>
            </w:r>
          </w:p>
        </w:tc>
        <w:tc>
          <w:tcPr>
            <w:tcW w:w="1000" w:type="pct"/>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b/>
                <w:bCs/>
                <w:sz w:val="21"/>
                <w:szCs w:val="21"/>
              </w:rPr>
            </w:pPr>
            <w:r w:rsidRPr="001F2C52">
              <w:rPr>
                <w:rFonts w:ascii="Times New Roman" w:eastAsia="Times New Roman" w:hAnsi="Times New Roman" w:cs="Times New Roman"/>
                <w:b/>
                <w:bCs/>
                <w:sz w:val="21"/>
                <w:szCs w:val="21"/>
              </w:rPr>
              <w:t>Program Code</w:t>
            </w:r>
          </w:p>
        </w:tc>
      </w:tr>
      <w:tr w:rsidR="001F2C52" w:rsidRPr="001F2C52" w:rsidTr="001F2C52">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School of Physical and Mathematical Sciences, Part Time (GMAT)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V24-97-23</w:t>
            </w:r>
          </w:p>
        </w:tc>
      </w:tr>
      <w:tr w:rsidR="001F2C52" w:rsidRPr="001F2C52" w:rsidTr="001F2C52">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School of Physical and Mathematical Sciences, Full Time (GMAT)​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V24-97-63</w:t>
            </w:r>
          </w:p>
        </w:tc>
      </w:tr>
      <w:tr w:rsidR="001F2C52" w:rsidRPr="001F2C52" w:rsidTr="001F2C52">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School of Physical and Mathematical Sciences (GRE)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4434</w:t>
            </w:r>
          </w:p>
        </w:tc>
      </w:tr>
    </w:tbl>
    <w:p w:rsidR="001F2C52" w:rsidRPr="001F2C52" w:rsidRDefault="001F2C52" w:rsidP="001F2C52">
      <w:pPr>
        <w:spacing w:before="300" w:after="100" w:afterAutospacing="1" w:line="240" w:lineRule="auto"/>
        <w:outlineLvl w:val="1"/>
        <w:rPr>
          <w:rFonts w:ascii="Times New Roman" w:eastAsia="Times New Roman" w:hAnsi="Times New Roman" w:cs="Times New Roman"/>
          <w:b/>
          <w:bCs/>
          <w:sz w:val="36"/>
          <w:szCs w:val="36"/>
        </w:rPr>
      </w:pPr>
      <w:r w:rsidRPr="001F2C52">
        <w:rPr>
          <w:rFonts w:ascii="Times New Roman" w:eastAsia="Times New Roman" w:hAnsi="Times New Roman" w:cs="Times New Roman"/>
          <w:b/>
          <w:bCs/>
          <w:sz w:val="36"/>
          <w:szCs w:val="36"/>
        </w:rPr>
        <w:t>H​ow to Apply</w:t>
      </w:r>
    </w:p>
    <w:tbl>
      <w:tblPr>
        <w:tblW w:w="5000" w:type="pct"/>
        <w:jc w:val="center"/>
        <w:tblCellSpacing w:w="0" w:type="dxa"/>
        <w:tblBorders>
          <w:top w:val="outset" w:sz="6" w:space="0" w:color="FFFFFF"/>
          <w:left w:val="outset" w:sz="6" w:space="0" w:color="FFFFFF"/>
          <w:bottom w:val="outset" w:sz="6" w:space="0" w:color="FFFFFF"/>
          <w:right w:val="outset" w:sz="6" w:space="0" w:color="FFFFFF"/>
        </w:tblBorders>
        <w:tblCellMar>
          <w:top w:w="75" w:type="dxa"/>
          <w:left w:w="75" w:type="dxa"/>
          <w:bottom w:w="75" w:type="dxa"/>
          <w:right w:w="75" w:type="dxa"/>
        </w:tblCellMar>
        <w:tblLook w:val="04A0" w:firstRow="1" w:lastRow="0" w:firstColumn="1" w:lastColumn="0" w:noHBand="0" w:noVBand="1"/>
      </w:tblPr>
      <w:tblGrid>
        <w:gridCol w:w="2310"/>
        <w:gridCol w:w="4841"/>
        <w:gridCol w:w="2389"/>
      </w:tblGrid>
      <w:tr w:rsidR="001F2C52" w:rsidRPr="001F2C52" w:rsidTr="001F2C52">
        <w:trPr>
          <w:trHeight w:val="300"/>
          <w:tblHeader/>
          <w:tblCellSpacing w:w="0" w:type="dxa"/>
          <w:jc w:val="center"/>
        </w:trPr>
        <w:tc>
          <w:tcPr>
            <w:tcW w:w="243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b/>
                <w:bCs/>
                <w:sz w:val="21"/>
                <w:szCs w:val="21"/>
              </w:rPr>
            </w:pPr>
            <w:r w:rsidRPr="001F2C52">
              <w:rPr>
                <w:rFonts w:ascii="Times New Roman" w:eastAsia="Times New Roman" w:hAnsi="Times New Roman" w:cs="Times New Roman"/>
                <w:b/>
                <w:bCs/>
                <w:sz w:val="21"/>
                <w:szCs w:val="21"/>
              </w:rPr>
              <w:t>Admission Stage</w:t>
            </w:r>
          </w:p>
        </w:tc>
        <w:tc>
          <w:tcPr>
            <w:tcW w:w="507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b/>
                <w:bCs/>
                <w:sz w:val="21"/>
                <w:szCs w:val="21"/>
              </w:rPr>
            </w:pPr>
            <w:r w:rsidRPr="001F2C52">
              <w:rPr>
                <w:rFonts w:ascii="Times New Roman" w:eastAsia="Times New Roman" w:hAnsi="Times New Roman" w:cs="Times New Roman"/>
                <w:b/>
                <w:bCs/>
                <w:sz w:val="21"/>
                <w:szCs w:val="21"/>
              </w:rPr>
              <w:t>Action</w:t>
            </w:r>
          </w:p>
        </w:tc>
        <w:tc>
          <w:tcPr>
            <w:tcW w:w="252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b/>
                <w:bCs/>
                <w:sz w:val="21"/>
                <w:szCs w:val="21"/>
              </w:rPr>
            </w:pPr>
            <w:r w:rsidRPr="001F2C52">
              <w:rPr>
                <w:rFonts w:ascii="Times New Roman" w:eastAsia="Times New Roman" w:hAnsi="Times New Roman" w:cs="Times New Roman"/>
                <w:b/>
                <w:bCs/>
                <w:sz w:val="21"/>
                <w:szCs w:val="21"/>
              </w:rPr>
              <w:t>Date / Deadline</w:t>
            </w:r>
          </w:p>
        </w:tc>
      </w:tr>
      <w:tr w:rsidR="001F2C52" w:rsidRPr="001F2C52" w:rsidTr="001F2C52">
        <w:trPr>
          <w:trHeight w:val="240"/>
          <w:tblCellSpacing w:w="0" w:type="dxa"/>
          <w:jc w:val="center"/>
        </w:trPr>
        <w:tc>
          <w:tcPr>
            <w:tcW w:w="243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b/>
                <w:bCs/>
                <w:sz w:val="21"/>
                <w:szCs w:val="21"/>
              </w:rPr>
              <w:t xml:space="preserve">Application </w:t>
            </w:r>
          </w:p>
        </w:tc>
        <w:tc>
          <w:tcPr>
            <w:tcW w:w="507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Please​ check out </w:t>
            </w:r>
            <w:hyperlink r:id="rId15" w:tgtFrame="_blank" w:history="1">
              <w:r w:rsidRPr="001F2C52">
                <w:rPr>
                  <w:rFonts w:ascii="Times New Roman" w:eastAsia="Times New Roman" w:hAnsi="Times New Roman" w:cs="Times New Roman"/>
                  <w:color w:val="0000FF"/>
                  <w:sz w:val="21"/>
                  <w:szCs w:val="21"/>
                  <w:u w:val="single"/>
                </w:rPr>
                <w:t>How to apply</w:t>
              </w:r>
            </w:hyperlink>
            <w:r w:rsidRPr="001F2C52">
              <w:rPr>
                <w:rFonts w:ascii="Times New Roman" w:eastAsia="Times New Roman" w:hAnsi="Times New Roman" w:cs="Times New Roman"/>
                <w:sz w:val="21"/>
                <w:szCs w:val="21"/>
              </w:rPr>
              <w:t> for electronic application;</w:t>
            </w:r>
            <w:r w:rsidRPr="001F2C52">
              <w:rPr>
                <w:rFonts w:ascii="Times New Roman" w:eastAsia="Times New Roman" w:hAnsi="Times New Roman" w:cs="Times New Roman"/>
                <w:sz w:val="21"/>
                <w:szCs w:val="21"/>
              </w:rPr>
              <w:br/>
            </w:r>
            <w:hyperlink r:id="rId16" w:tgtFrame="_blank" w:history="1">
              <w:r w:rsidRPr="001F2C52">
                <w:rPr>
                  <w:rFonts w:ascii="Times New Roman" w:eastAsia="Times New Roman" w:hAnsi="Times New Roman" w:cs="Times New Roman"/>
                  <w:color w:val="0000FF"/>
                  <w:sz w:val="21"/>
                  <w:szCs w:val="21"/>
                  <w:u w:val="single"/>
                </w:rPr>
                <w:t>Direct link to the online a​pplication​</w:t>
              </w:r>
            </w:hyperlink>
          </w:p>
        </w:tc>
        <w:tc>
          <w:tcPr>
            <w:tcW w:w="252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1 Nov 2019 to 31 Jan 2020</w:t>
            </w:r>
          </w:p>
        </w:tc>
      </w:tr>
      <w:tr w:rsidR="001F2C52" w:rsidRPr="001F2C52" w:rsidTr="001F2C52">
        <w:trPr>
          <w:tblCellSpacing w:w="0" w:type="dxa"/>
          <w:jc w:val="center"/>
        </w:trPr>
        <w:tc>
          <w:tcPr>
            <w:tcW w:w="243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b/>
                <w:bCs/>
                <w:sz w:val="21"/>
                <w:szCs w:val="21"/>
              </w:rPr>
              <w:t>Offer and Acceptance</w:t>
            </w:r>
          </w:p>
        </w:tc>
        <w:tc>
          <w:tcPr>
            <w:tcW w:w="507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Offer</w:t>
            </w:r>
            <w:r w:rsidRPr="001F2C52">
              <w:rPr>
                <w:rFonts w:ascii="Times New Roman" w:eastAsia="Times New Roman" w:hAnsi="Times New Roman" w:cs="Times New Roman"/>
                <w:sz w:val="21"/>
                <w:szCs w:val="21"/>
              </w:rPr>
              <w:br/>
              <w:t>(Accept and pay the deposit in two weeks)</w:t>
            </w:r>
          </w:p>
        </w:tc>
        <w:tc>
          <w:tcPr>
            <w:tcW w:w="252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March 2020</w:t>
            </w:r>
          </w:p>
        </w:tc>
      </w:tr>
      <w:tr w:rsidR="001F2C52" w:rsidRPr="001F2C52" w:rsidTr="001F2C52">
        <w:trPr>
          <w:tblCellSpacing w:w="0" w:type="dxa"/>
          <w:jc w:val="center"/>
        </w:trPr>
        <w:tc>
          <w:tcPr>
            <w:tcW w:w="243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w:t>
            </w:r>
          </w:p>
        </w:tc>
        <w:tc>
          <w:tcPr>
            <w:tcW w:w="507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​Online Appeal (via email to </w:t>
            </w:r>
            <w:hyperlink r:id="rId17" w:history="1">
              <w:r w:rsidRPr="001F2C52">
                <w:rPr>
                  <w:rFonts w:ascii="Arial" w:eastAsia="Times New Roman" w:hAnsi="Arial" w:cs="Arial"/>
                  <w:color w:val="0000FF"/>
                  <w:sz w:val="21"/>
                  <w:szCs w:val="21"/>
                  <w:u w:val="single"/>
                </w:rPr>
                <w:t>MScFinTech@ntu.edu.sg​</w:t>
              </w:r>
            </w:hyperlink>
            <w:r w:rsidRPr="001F2C52">
              <w:rPr>
                <w:rFonts w:ascii="Times New Roman" w:eastAsia="Times New Roman" w:hAnsi="Times New Roman" w:cs="Times New Roman"/>
                <w:sz w:val="21"/>
                <w:szCs w:val="21"/>
              </w:rPr>
              <w:t>)</w:t>
            </w:r>
          </w:p>
        </w:tc>
        <w:tc>
          <w:tcPr>
            <w:tcW w:w="252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​Apr 2020</w:t>
            </w:r>
          </w:p>
        </w:tc>
      </w:tr>
      <w:tr w:rsidR="001F2C52" w:rsidRPr="001F2C52" w:rsidTr="001F2C52">
        <w:trPr>
          <w:tblCellSpacing w:w="0" w:type="dxa"/>
          <w:jc w:val="center"/>
        </w:trPr>
        <w:tc>
          <w:tcPr>
            <w:tcW w:w="243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b/>
                <w:bCs/>
                <w:sz w:val="21"/>
                <w:szCs w:val="21"/>
              </w:rPr>
              <w:t>After Acceptance</w:t>
            </w:r>
          </w:p>
        </w:tc>
        <w:tc>
          <w:tcPr>
            <w:tcW w:w="507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Matriculation</w:t>
            </w:r>
          </w:p>
        </w:tc>
        <w:tc>
          <w:tcPr>
            <w:tcW w:w="252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Jul 2020</w:t>
            </w:r>
          </w:p>
        </w:tc>
      </w:tr>
      <w:tr w:rsidR="001F2C52" w:rsidRPr="001F2C52" w:rsidTr="001F2C52">
        <w:trPr>
          <w:tblCellSpacing w:w="0" w:type="dxa"/>
          <w:jc w:val="center"/>
        </w:trPr>
        <w:tc>
          <w:tcPr>
            <w:tcW w:w="243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w:t>
            </w:r>
          </w:p>
        </w:tc>
        <w:tc>
          <w:tcPr>
            <w:tcW w:w="507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​Welcome Ceremony</w:t>
            </w:r>
          </w:p>
        </w:tc>
        <w:tc>
          <w:tcPr>
            <w:tcW w:w="252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​TBC</w:t>
            </w:r>
          </w:p>
        </w:tc>
      </w:tr>
      <w:tr w:rsidR="001F2C52" w:rsidRPr="001F2C52" w:rsidTr="001F2C52">
        <w:trPr>
          <w:tblCellSpacing w:w="0" w:type="dxa"/>
          <w:jc w:val="center"/>
        </w:trPr>
        <w:tc>
          <w:tcPr>
            <w:tcW w:w="243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p>
        </w:tc>
        <w:tc>
          <w:tcPr>
            <w:tcW w:w="507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Course Commencement</w:t>
            </w:r>
          </w:p>
        </w:tc>
        <w:tc>
          <w:tcPr>
            <w:tcW w:w="2520"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20 July 2020</w:t>
            </w:r>
          </w:p>
        </w:tc>
      </w:tr>
    </w:tbl>
    <w:p w:rsidR="001F2C52" w:rsidRPr="001F2C52" w:rsidRDefault="001F2C52" w:rsidP="001F2C52">
      <w:pPr>
        <w:spacing w:before="180" w:after="100" w:afterAutospacing="1" w:line="240" w:lineRule="auto"/>
        <w:outlineLvl w:val="1"/>
        <w:rPr>
          <w:rFonts w:ascii="Times New Roman" w:eastAsia="Times New Roman" w:hAnsi="Times New Roman" w:cs="Times New Roman"/>
          <w:b/>
          <w:bCs/>
          <w:sz w:val="36"/>
          <w:szCs w:val="36"/>
        </w:rPr>
      </w:pPr>
      <w:r w:rsidRPr="001F2C52">
        <w:rPr>
          <w:rFonts w:ascii="Times New Roman" w:eastAsia="Times New Roman" w:hAnsi="Times New Roman" w:cs="Times New Roman"/>
          <w:b/>
          <w:bCs/>
          <w:sz w:val="36"/>
          <w:szCs w:val="36"/>
        </w:rPr>
        <w:t>Medical Check-up</w:t>
      </w:r>
    </w:p>
    <w:p w:rsidR="001F2C52" w:rsidRPr="001F2C52" w:rsidRDefault="001F2C52" w:rsidP="00C22B78">
      <w:pPr>
        <w:spacing w:before="100" w:beforeAutospacing="1" w:after="100" w:afterAutospacing="1" w:line="240" w:lineRule="auto"/>
        <w:jc w:val="both"/>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Enrolling students must go to the Medical Centre to do the medical check-up and obtain a receipt certifying that they are medically fit for studies. The medical examination clearance certification must be presented prior to matriculation.</w:t>
      </w:r>
    </w:p>
    <w:p w:rsidR="001F2C52" w:rsidRPr="001F2C52" w:rsidRDefault="001F2C52" w:rsidP="001F2C5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fees"/>
      <w:bookmarkEnd w:id="5"/>
      <w:r w:rsidRPr="001F2C52">
        <w:rPr>
          <w:rFonts w:ascii="Times New Roman" w:eastAsia="Times New Roman" w:hAnsi="Times New Roman" w:cs="Times New Roman"/>
          <w:b/>
          <w:bCs/>
          <w:kern w:val="36"/>
          <w:sz w:val="48"/>
          <w:szCs w:val="48"/>
        </w:rPr>
        <w:t>Programme Fees</w:t>
      </w:r>
    </w:p>
    <w:p w:rsidR="001F2C52" w:rsidRPr="001F2C52" w:rsidRDefault="001F2C52" w:rsidP="001F2C52">
      <w:pPr>
        <w:spacing w:before="100" w:beforeAutospacing="1" w:after="100" w:afterAutospacing="1" w:line="240" w:lineRule="auto"/>
        <w:outlineLvl w:val="1"/>
        <w:rPr>
          <w:rFonts w:ascii="Times New Roman" w:eastAsia="Times New Roman" w:hAnsi="Times New Roman" w:cs="Times New Roman"/>
          <w:b/>
          <w:bCs/>
          <w:sz w:val="36"/>
          <w:szCs w:val="36"/>
        </w:rPr>
      </w:pPr>
      <w:r w:rsidRPr="001F2C52">
        <w:rPr>
          <w:rFonts w:ascii="Times New Roman" w:eastAsia="Times New Roman" w:hAnsi="Times New Roman" w:cs="Times New Roman"/>
          <w:b/>
          <w:bCs/>
          <w:sz w:val="36"/>
          <w:szCs w:val="36"/>
        </w:rPr>
        <w:t>AY2019/2020</w:t>
      </w:r>
    </w:p>
    <w:tbl>
      <w:tblPr>
        <w:tblW w:w="5000" w:type="pct"/>
        <w:jc w:val="center"/>
        <w:tblCellSpacing w:w="0" w:type="dxa"/>
        <w:tblBorders>
          <w:top w:val="outset" w:sz="6" w:space="0" w:color="FFFFFF"/>
          <w:left w:val="outset" w:sz="6" w:space="0" w:color="FFFFFF"/>
          <w:bottom w:val="outset" w:sz="6" w:space="0" w:color="FFFFFF"/>
          <w:right w:val="outset" w:sz="6" w:space="0" w:color="FFFFFF"/>
        </w:tblBorders>
        <w:tblCellMar>
          <w:top w:w="75" w:type="dxa"/>
          <w:left w:w="75" w:type="dxa"/>
          <w:bottom w:w="75" w:type="dxa"/>
          <w:right w:w="75" w:type="dxa"/>
        </w:tblCellMar>
        <w:tblLook w:val="04A0" w:firstRow="1" w:lastRow="0" w:firstColumn="1" w:lastColumn="0" w:noHBand="0" w:noVBand="1"/>
      </w:tblPr>
      <w:tblGrid>
        <w:gridCol w:w="3339"/>
        <w:gridCol w:w="6201"/>
      </w:tblGrid>
      <w:tr w:rsidR="001F2C52" w:rsidRPr="001F2C52" w:rsidTr="001F2C52">
        <w:trPr>
          <w:tblCellSpacing w:w="0" w:type="dxa"/>
          <w:jc w:val="center"/>
        </w:trPr>
        <w:tc>
          <w:tcPr>
            <w:tcW w:w="1750" w:type="pct"/>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b/>
                <w:bCs/>
                <w:sz w:val="21"/>
                <w:szCs w:val="21"/>
              </w:rPr>
              <w:t>Singapore Citizens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S$35,000</w:t>
            </w:r>
          </w:p>
        </w:tc>
      </w:tr>
      <w:tr w:rsidR="001F2C52" w:rsidRPr="001F2C52" w:rsidTr="001F2C52">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b/>
                <w:bCs/>
                <w:sz w:val="21"/>
                <w:szCs w:val="21"/>
              </w:rPr>
              <w:t>Singapore Permanent Residents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S$45,000</w:t>
            </w:r>
          </w:p>
        </w:tc>
      </w:tr>
      <w:tr w:rsidR="001F2C52" w:rsidRPr="001F2C52" w:rsidTr="001F2C52">
        <w:trPr>
          <w:tblCellSpacing w:w="0"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1"/>
                <w:szCs w:val="21"/>
              </w:rPr>
            </w:pPr>
            <w:r w:rsidRPr="001F2C52">
              <w:rPr>
                <w:rFonts w:ascii="Times New Roman" w:eastAsia="Times New Roman" w:hAnsi="Times New Roman" w:cs="Times New Roman"/>
                <w:b/>
                <w:bCs/>
                <w:sz w:val="21"/>
                <w:szCs w:val="21"/>
              </w:rPr>
              <w:t>International Students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1"/>
                <w:szCs w:val="21"/>
              </w:rPr>
            </w:pPr>
            <w:r w:rsidRPr="001F2C52">
              <w:rPr>
                <w:rFonts w:ascii="Times New Roman" w:eastAsia="Times New Roman" w:hAnsi="Times New Roman" w:cs="Times New Roman"/>
                <w:sz w:val="21"/>
                <w:szCs w:val="21"/>
              </w:rPr>
              <w:t>S$55,000</w:t>
            </w:r>
          </w:p>
        </w:tc>
      </w:tr>
    </w:tbl>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All fees are inclusive of GST.</w:t>
      </w:r>
    </w:p>
    <w:p w:rsidR="001F2C52" w:rsidRPr="001F2C52" w:rsidRDefault="001F2C52" w:rsidP="001F2C52">
      <w:pPr>
        <w:spacing w:before="100" w:beforeAutospacing="1" w:after="100" w:afterAutospacing="1" w:line="240" w:lineRule="auto"/>
        <w:outlineLvl w:val="1"/>
        <w:rPr>
          <w:rFonts w:ascii="Times New Roman" w:eastAsia="Times New Roman" w:hAnsi="Times New Roman" w:cs="Times New Roman"/>
          <w:b/>
          <w:bCs/>
          <w:sz w:val="36"/>
          <w:szCs w:val="36"/>
        </w:rPr>
      </w:pPr>
      <w:r w:rsidRPr="001F2C52">
        <w:rPr>
          <w:rFonts w:ascii="Times New Roman" w:eastAsia="Times New Roman" w:hAnsi="Times New Roman" w:cs="Times New Roman"/>
          <w:b/>
          <w:bCs/>
          <w:sz w:val="36"/>
          <w:szCs w:val="36"/>
        </w:rPr>
        <w:t>Payment Schedule (full-time students)</w:t>
      </w:r>
    </w:p>
    <w:tbl>
      <w:tblPr>
        <w:tblW w:w="5000" w:type="pct"/>
        <w:jc w:val="center"/>
        <w:tblCellSpacing w:w="0" w:type="dxa"/>
        <w:tblBorders>
          <w:top w:val="outset" w:sz="6" w:space="0" w:color="FFFFFF"/>
          <w:left w:val="outset" w:sz="6" w:space="0" w:color="FFFFFF"/>
          <w:bottom w:val="outset" w:sz="6" w:space="0" w:color="FFFFFF"/>
          <w:right w:val="outset" w:sz="6" w:space="0" w:color="FFFFFF"/>
        </w:tblBorders>
        <w:tblCellMar>
          <w:top w:w="75" w:type="dxa"/>
          <w:left w:w="75" w:type="dxa"/>
          <w:bottom w:w="75" w:type="dxa"/>
          <w:right w:w="75" w:type="dxa"/>
        </w:tblCellMar>
        <w:tblLook w:val="04A0" w:firstRow="1" w:lastRow="0" w:firstColumn="1" w:lastColumn="0" w:noHBand="0" w:noVBand="1"/>
      </w:tblPr>
      <w:tblGrid>
        <w:gridCol w:w="3283"/>
        <w:gridCol w:w="2366"/>
        <w:gridCol w:w="1297"/>
        <w:gridCol w:w="1297"/>
        <w:gridCol w:w="1297"/>
      </w:tblGrid>
      <w:tr w:rsidR="001F2C52" w:rsidRPr="001F2C52" w:rsidTr="001F2C52">
        <w:trPr>
          <w:tblCellSpacing w:w="0" w:type="dxa"/>
          <w:jc w:val="center"/>
        </w:trPr>
        <w:tc>
          <w:tcPr>
            <w:tcW w:w="32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b/>
                <w:bCs/>
                <w:sz w:val="24"/>
                <w:szCs w:val="24"/>
              </w:rPr>
            </w:pPr>
          </w:p>
        </w:tc>
        <w:tc>
          <w:tcPr>
            <w:tcW w:w="23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b/>
                <w:bCs/>
                <w:sz w:val="24"/>
                <w:szCs w:val="24"/>
              </w:rPr>
            </w:pPr>
            <w:r w:rsidRPr="001F2C52">
              <w:rPr>
                <w:rFonts w:ascii="Times New Roman" w:eastAsia="Times New Roman" w:hAnsi="Times New Roman" w:cs="Times New Roman"/>
                <w:b/>
                <w:bCs/>
                <w:sz w:val="24"/>
                <w:szCs w:val="24"/>
              </w:rPr>
              <w:t> Deposit Upon Acceptance of Offer </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b/>
                <w:bCs/>
                <w:sz w:val="24"/>
                <w:szCs w:val="24"/>
              </w:rPr>
            </w:pPr>
            <w:r w:rsidRPr="001F2C52">
              <w:rPr>
                <w:rFonts w:ascii="Times New Roman" w:eastAsia="Times New Roman" w:hAnsi="Times New Roman" w:cs="Times New Roman"/>
                <w:b/>
                <w:bCs/>
                <w:sz w:val="24"/>
                <w:szCs w:val="24"/>
              </w:rPr>
              <w:t xml:space="preserve">Trimester 1 </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b/>
                <w:bCs/>
                <w:sz w:val="24"/>
                <w:szCs w:val="24"/>
              </w:rPr>
            </w:pPr>
            <w:r w:rsidRPr="001F2C52">
              <w:rPr>
                <w:rFonts w:ascii="Times New Roman" w:eastAsia="Times New Roman" w:hAnsi="Times New Roman" w:cs="Times New Roman"/>
                <w:b/>
                <w:bCs/>
                <w:sz w:val="24"/>
                <w:szCs w:val="24"/>
              </w:rPr>
              <w:t>Trimester 2</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b/>
                <w:bCs/>
                <w:sz w:val="24"/>
                <w:szCs w:val="24"/>
              </w:rPr>
            </w:pPr>
            <w:r w:rsidRPr="001F2C52">
              <w:rPr>
                <w:rFonts w:ascii="Times New Roman" w:eastAsia="Times New Roman" w:hAnsi="Times New Roman" w:cs="Times New Roman"/>
                <w:b/>
                <w:bCs/>
                <w:sz w:val="24"/>
                <w:szCs w:val="24"/>
              </w:rPr>
              <w:t>Trimester 3</w:t>
            </w:r>
          </w:p>
        </w:tc>
      </w:tr>
      <w:tr w:rsidR="001F2C52" w:rsidRPr="001F2C52" w:rsidTr="001F2C52">
        <w:trPr>
          <w:tblCellSpacing w:w="0" w:type="dxa"/>
          <w:jc w:val="center"/>
        </w:trPr>
        <w:tc>
          <w:tcPr>
            <w:tcW w:w="32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b/>
                <w:bCs/>
                <w:sz w:val="24"/>
                <w:szCs w:val="24"/>
              </w:rPr>
              <w:t>Singapore Citizens</w:t>
            </w:r>
          </w:p>
        </w:tc>
        <w:tc>
          <w:tcPr>
            <w:tcW w:w="23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S$5,000</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S$6,667</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S$11,667</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S$11,666</w:t>
            </w:r>
          </w:p>
        </w:tc>
      </w:tr>
      <w:tr w:rsidR="001F2C52" w:rsidRPr="001F2C52" w:rsidTr="001F2C52">
        <w:trPr>
          <w:tblCellSpacing w:w="0" w:type="dxa"/>
          <w:jc w:val="center"/>
        </w:trPr>
        <w:tc>
          <w:tcPr>
            <w:tcW w:w="32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b/>
                <w:bCs/>
                <w:sz w:val="24"/>
                <w:szCs w:val="24"/>
              </w:rPr>
              <w:t>Singapore Permanent Residents</w:t>
            </w:r>
          </w:p>
        </w:tc>
        <w:tc>
          <w:tcPr>
            <w:tcW w:w="23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S$5,000</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S$10,000</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S$15,000</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S$15,000</w:t>
            </w:r>
          </w:p>
        </w:tc>
      </w:tr>
      <w:tr w:rsidR="001F2C52" w:rsidRPr="001F2C52" w:rsidTr="001F2C52">
        <w:trPr>
          <w:tblCellSpacing w:w="0" w:type="dxa"/>
          <w:jc w:val="center"/>
        </w:trPr>
        <w:tc>
          <w:tcPr>
            <w:tcW w:w="32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b/>
                <w:bCs/>
                <w:sz w:val="24"/>
                <w:szCs w:val="24"/>
              </w:rPr>
              <w:t>International Students</w:t>
            </w:r>
          </w:p>
        </w:tc>
        <w:tc>
          <w:tcPr>
            <w:tcW w:w="232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S$5,000</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S$13,333</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S$18,333</w:t>
            </w:r>
          </w:p>
        </w:tc>
        <w:tc>
          <w:tcPr>
            <w:tcW w:w="1275" w:type="dxa"/>
            <w:tcBorders>
              <w:top w:val="outset" w:sz="6" w:space="0" w:color="FFFFFF"/>
              <w:left w:val="outset" w:sz="6" w:space="0" w:color="FFFFFF"/>
              <w:bottom w:val="outset" w:sz="6" w:space="0" w:color="FFFFFF"/>
              <w:right w:val="outset" w:sz="6" w:space="0" w:color="FFFFFF"/>
            </w:tcBorders>
            <w:vAlign w:val="center"/>
            <w:hideMark/>
          </w:tcPr>
          <w:p w:rsidR="001F2C52" w:rsidRPr="001F2C52" w:rsidRDefault="001F2C52" w:rsidP="001F2C52">
            <w:pPr>
              <w:spacing w:after="0" w:line="240" w:lineRule="auto"/>
              <w:jc w:val="center"/>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S$18,334 </w:t>
            </w:r>
          </w:p>
        </w:tc>
      </w:tr>
    </w:tbl>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S$5,000 is </w:t>
      </w:r>
      <w:r w:rsidRPr="001F2C52">
        <w:rPr>
          <w:rFonts w:ascii="Times New Roman" w:eastAsia="Times New Roman" w:hAnsi="Times New Roman" w:cs="Times New Roman"/>
          <w:b/>
          <w:bCs/>
          <w:sz w:val="24"/>
          <w:szCs w:val="24"/>
        </w:rPr>
        <w:t>non-refundable</w:t>
      </w:r>
      <w:r w:rsidRPr="001F2C52">
        <w:rPr>
          <w:rFonts w:ascii="Times New Roman" w:eastAsia="Times New Roman" w:hAnsi="Times New Roman" w:cs="Times New Roman"/>
          <w:sz w:val="24"/>
          <w:szCs w:val="24"/>
        </w:rPr>
        <w:t xml:space="preserve"> upon acceptance of offer, and will offset the first installment.</w:t>
      </w:r>
    </w:p>
    <w:p w:rsidR="001F2C52" w:rsidRPr="001F2C52" w:rsidRDefault="001F2C52" w:rsidP="00C22B78">
      <w:pPr>
        <w:spacing w:before="100" w:beforeAutospacing="1" w:after="100" w:afterAutospacing="1" w:line="240" w:lineRule="auto"/>
        <w:jc w:val="both"/>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The MSFT programme is totally self-financed through fees collected. Service obligation option would not be extended to international students.</w:t>
      </w:r>
    </w:p>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Note:</w:t>
      </w:r>
    </w:p>
    <w:p w:rsidR="001F2C52" w:rsidRPr="001F2C52" w:rsidRDefault="001F2C52" w:rsidP="00C22B7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Successful international applicants must show proof of having sufficient funds for the normal duration of the MSc in FinTech programme, after accepting the admission offer. </w:t>
      </w:r>
      <w:r w:rsidRPr="001F2C52">
        <w:rPr>
          <w:rFonts w:ascii="Times New Roman" w:eastAsia="Times New Roman" w:hAnsi="Times New Roman" w:cs="Times New Roman"/>
          <w:sz w:val="24"/>
          <w:szCs w:val="24"/>
        </w:rPr>
        <w:lastRenderedPageBreak/>
        <w:t>Currently, the calculation of the required amount is based on S$18,000 per year for living expenses, in addition to the tuition and miscellaneous student fees.</w:t>
      </w:r>
    </w:p>
    <w:p w:rsidR="001F2C52" w:rsidRPr="001F2C52" w:rsidRDefault="001F2C52" w:rsidP="001F2C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Fees must be paid in full before the start of the Trimester.</w:t>
      </w:r>
    </w:p>
    <w:p w:rsidR="001F2C52" w:rsidRPr="001F2C52" w:rsidRDefault="001F2C52" w:rsidP="001F2C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Part-time students pay their fees over 6 trimesters.</w:t>
      </w:r>
    </w:p>
    <w:p w:rsidR="001F2C52" w:rsidRPr="001F2C52" w:rsidRDefault="001F2C52" w:rsidP="001F2C52">
      <w:pPr>
        <w:spacing w:before="100" w:beforeAutospacing="1" w:after="100" w:afterAutospacing="1" w:line="240" w:lineRule="auto"/>
        <w:outlineLvl w:val="1"/>
        <w:rPr>
          <w:rFonts w:ascii="Times New Roman" w:eastAsia="Times New Roman" w:hAnsi="Times New Roman" w:cs="Times New Roman"/>
          <w:b/>
          <w:bCs/>
          <w:sz w:val="36"/>
          <w:szCs w:val="36"/>
        </w:rPr>
      </w:pPr>
      <w:r w:rsidRPr="001F2C52">
        <w:rPr>
          <w:rFonts w:ascii="Times New Roman" w:eastAsia="Times New Roman" w:hAnsi="Times New Roman" w:cs="Times New Roman"/>
          <w:b/>
          <w:bCs/>
          <w:sz w:val="36"/>
          <w:szCs w:val="36"/>
        </w:rPr>
        <w:t>Financial Assistance</w:t>
      </w:r>
    </w:p>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 xml:space="preserve">The </w:t>
      </w:r>
      <w:r w:rsidRPr="001F2C52">
        <w:rPr>
          <w:rFonts w:ascii="Times New Roman" w:eastAsia="Times New Roman" w:hAnsi="Times New Roman" w:cs="Times New Roman"/>
          <w:b/>
          <w:bCs/>
          <w:sz w:val="24"/>
          <w:szCs w:val="24"/>
        </w:rPr>
        <w:t>Financial Specialist Scholarship (FSS)</w:t>
      </w:r>
      <w:r w:rsidRPr="001F2C52">
        <w:rPr>
          <w:rFonts w:ascii="Times New Roman" w:eastAsia="Times New Roman" w:hAnsi="Times New Roman" w:cs="Times New Roman"/>
          <w:sz w:val="24"/>
          <w:szCs w:val="24"/>
        </w:rPr>
        <w:t xml:space="preserve"> is offered by the Institute of Banking &amp; Finance.</w:t>
      </w:r>
    </w:p>
    <w:p w:rsidR="001F2C52" w:rsidRDefault="001F2C52" w:rsidP="00C22B78">
      <w:pPr>
        <w:spacing w:before="100" w:beforeAutospacing="1" w:after="100" w:afterAutospacing="1" w:line="240" w:lineRule="auto"/>
        <w:jc w:val="both"/>
        <w:rPr>
          <w:rFonts w:ascii="Times New Roman" w:eastAsia="Times New Roman" w:hAnsi="Times New Roman" w:cs="Times New Roman"/>
          <w:sz w:val="24"/>
          <w:szCs w:val="24"/>
        </w:rPr>
      </w:pPr>
      <w:r w:rsidRPr="001F2C52">
        <w:rPr>
          <w:rFonts w:ascii="Times New Roman" w:eastAsia="Times New Roman" w:hAnsi="Times New Roman" w:cs="Times New Roman"/>
          <w:sz w:val="24"/>
          <w:szCs w:val="24"/>
        </w:rPr>
        <w:t>Prospective Singaporean students applying for the MSc in FinTech are eligible for the Financial Specialist Scholarship (FSS), offered by</w:t>
      </w:r>
      <w:bookmarkStart w:id="6" w:name="_GoBack"/>
      <w:bookmarkEnd w:id="6"/>
      <w:r w:rsidRPr="001F2C52">
        <w:rPr>
          <w:rFonts w:ascii="Times New Roman" w:eastAsia="Times New Roman" w:hAnsi="Times New Roman" w:cs="Times New Roman"/>
          <w:sz w:val="24"/>
          <w:szCs w:val="24"/>
        </w:rPr>
        <w:t xml:space="preserve"> the Institute of Banking &amp; Finance. Note that the deadline for the FSS application is </w:t>
      </w:r>
      <w:r w:rsidRPr="001F2C52">
        <w:rPr>
          <w:rFonts w:ascii="Times New Roman" w:eastAsia="Times New Roman" w:hAnsi="Times New Roman" w:cs="Times New Roman"/>
          <w:sz w:val="24"/>
          <w:szCs w:val="24"/>
          <w:u w:val="single"/>
        </w:rPr>
        <w:t>mid-May</w:t>
      </w:r>
      <w:r w:rsidRPr="001F2C52">
        <w:rPr>
          <w:rFonts w:ascii="Times New Roman" w:eastAsia="Times New Roman" w:hAnsi="Times New Roman" w:cs="Times New Roman"/>
          <w:sz w:val="24"/>
          <w:szCs w:val="24"/>
        </w:rPr>
        <w:t xml:space="preserve"> for company-track applicants and </w:t>
      </w:r>
      <w:r w:rsidRPr="001F2C52">
        <w:rPr>
          <w:rFonts w:ascii="Times New Roman" w:eastAsia="Times New Roman" w:hAnsi="Times New Roman" w:cs="Times New Roman"/>
          <w:sz w:val="24"/>
          <w:szCs w:val="24"/>
          <w:u w:val="single"/>
        </w:rPr>
        <w:t>end of February</w:t>
      </w:r>
      <w:r w:rsidRPr="001F2C52">
        <w:rPr>
          <w:rFonts w:ascii="Times New Roman" w:eastAsia="Times New Roman" w:hAnsi="Times New Roman" w:cs="Times New Roman"/>
          <w:sz w:val="24"/>
          <w:szCs w:val="24"/>
        </w:rPr>
        <w:t xml:space="preserve"> for individual-track applicants.</w:t>
      </w:r>
    </w:p>
    <w:p w:rsidR="001F2C52" w:rsidRPr="001F2C52" w:rsidRDefault="001F2C52" w:rsidP="001F2C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710" cy="416687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4166870"/>
                    </a:xfrm>
                    <a:prstGeom prst="rect">
                      <a:avLst/>
                    </a:prstGeom>
                    <a:noFill/>
                    <a:ln>
                      <a:noFill/>
                    </a:ln>
                  </pic:spPr>
                </pic:pic>
              </a:graphicData>
            </a:graphic>
          </wp:inline>
        </w:drawing>
      </w:r>
    </w:p>
    <w:p w:rsidR="00DD7F82" w:rsidRDefault="00DD7F82"/>
    <w:sectPr w:rsidR="00DD7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70F"/>
    <w:multiLevelType w:val="multilevel"/>
    <w:tmpl w:val="D46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6A5D"/>
    <w:multiLevelType w:val="multilevel"/>
    <w:tmpl w:val="7370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25D09"/>
    <w:multiLevelType w:val="multilevel"/>
    <w:tmpl w:val="DB4C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E0B9B"/>
    <w:multiLevelType w:val="multilevel"/>
    <w:tmpl w:val="E7B0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633BF"/>
    <w:multiLevelType w:val="multilevel"/>
    <w:tmpl w:val="ABB8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877FE"/>
    <w:multiLevelType w:val="multilevel"/>
    <w:tmpl w:val="561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C52"/>
    <w:rsid w:val="001F2C52"/>
    <w:rsid w:val="00C22B78"/>
    <w:rsid w:val="00D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58CF5-7453-4251-80CF-F4730A82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2C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C5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2C52"/>
    <w:rPr>
      <w:color w:val="0000FF"/>
      <w:u w:val="single"/>
    </w:rPr>
  </w:style>
  <w:style w:type="paragraph" w:customStyle="1" w:styleId="nicepara">
    <w:name w:val="nicepara"/>
    <w:basedOn w:val="Normal"/>
    <w:rsid w:val="001F2C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C52"/>
    <w:rPr>
      <w:b/>
      <w:bCs/>
    </w:rPr>
  </w:style>
  <w:style w:type="character" w:styleId="Emphasis">
    <w:name w:val="Emphasis"/>
    <w:basedOn w:val="DefaultParagraphFont"/>
    <w:uiPriority w:val="20"/>
    <w:qFormat/>
    <w:rsid w:val="001F2C52"/>
    <w:rPr>
      <w:i/>
      <w:iCs/>
    </w:rPr>
  </w:style>
  <w:style w:type="character" w:customStyle="1" w:styleId="ms-rtethemefontface-2">
    <w:name w:val="ms-rtethemefontface-2"/>
    <w:basedOn w:val="DefaultParagraphFont"/>
    <w:rsid w:val="001F2C52"/>
  </w:style>
  <w:style w:type="paragraph" w:customStyle="1" w:styleId="para">
    <w:name w:val="para"/>
    <w:basedOn w:val="Normal"/>
    <w:rsid w:val="001F2C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2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94383">
      <w:bodyDiv w:val="1"/>
      <w:marLeft w:val="0"/>
      <w:marRight w:val="0"/>
      <w:marTop w:val="0"/>
      <w:marBottom w:val="0"/>
      <w:divBdr>
        <w:top w:val="none" w:sz="0" w:space="0" w:color="auto"/>
        <w:left w:val="none" w:sz="0" w:space="0" w:color="auto"/>
        <w:bottom w:val="none" w:sz="0" w:space="0" w:color="auto"/>
        <w:right w:val="none" w:sz="0" w:space="0" w:color="auto"/>
      </w:divBdr>
      <w:divsChild>
        <w:div w:id="1148597719">
          <w:marLeft w:val="0"/>
          <w:marRight w:val="0"/>
          <w:marTop w:val="0"/>
          <w:marBottom w:val="0"/>
          <w:divBdr>
            <w:top w:val="none" w:sz="0" w:space="0" w:color="auto"/>
            <w:left w:val="none" w:sz="0" w:space="0" w:color="auto"/>
            <w:bottom w:val="none" w:sz="0" w:space="0" w:color="auto"/>
            <w:right w:val="none" w:sz="0" w:space="0" w:color="auto"/>
          </w:divBdr>
          <w:divsChild>
            <w:div w:id="1348558553">
              <w:marLeft w:val="0"/>
              <w:marRight w:val="0"/>
              <w:marTop w:val="0"/>
              <w:marBottom w:val="0"/>
              <w:divBdr>
                <w:top w:val="none" w:sz="0" w:space="0" w:color="auto"/>
                <w:left w:val="none" w:sz="0" w:space="0" w:color="auto"/>
                <w:bottom w:val="none" w:sz="0" w:space="0" w:color="auto"/>
                <w:right w:val="none" w:sz="0" w:space="0" w:color="auto"/>
              </w:divBdr>
            </w:div>
          </w:divsChild>
        </w:div>
        <w:div w:id="1544631742">
          <w:marLeft w:val="0"/>
          <w:marRight w:val="0"/>
          <w:marTop w:val="0"/>
          <w:marBottom w:val="0"/>
          <w:divBdr>
            <w:top w:val="none" w:sz="0" w:space="0" w:color="auto"/>
            <w:left w:val="none" w:sz="0" w:space="0" w:color="auto"/>
            <w:bottom w:val="none" w:sz="0" w:space="0" w:color="auto"/>
            <w:right w:val="none" w:sz="0" w:space="0" w:color="auto"/>
          </w:divBdr>
          <w:divsChild>
            <w:div w:id="1308319740">
              <w:marLeft w:val="0"/>
              <w:marRight w:val="0"/>
              <w:marTop w:val="0"/>
              <w:marBottom w:val="0"/>
              <w:divBdr>
                <w:top w:val="none" w:sz="0" w:space="0" w:color="auto"/>
                <w:left w:val="none" w:sz="0" w:space="0" w:color="auto"/>
                <w:bottom w:val="none" w:sz="0" w:space="0" w:color="auto"/>
                <w:right w:val="none" w:sz="0" w:space="0" w:color="auto"/>
              </w:divBdr>
              <w:divsChild>
                <w:div w:id="116031162">
                  <w:marLeft w:val="0"/>
                  <w:marRight w:val="0"/>
                  <w:marTop w:val="0"/>
                  <w:marBottom w:val="0"/>
                  <w:divBdr>
                    <w:top w:val="none" w:sz="0" w:space="0" w:color="auto"/>
                    <w:left w:val="none" w:sz="0" w:space="0" w:color="auto"/>
                    <w:bottom w:val="none" w:sz="0" w:space="0" w:color="auto"/>
                    <w:right w:val="none" w:sz="0" w:space="0" w:color="auto"/>
                  </w:divBdr>
                  <w:divsChild>
                    <w:div w:id="649334013">
                      <w:marLeft w:val="0"/>
                      <w:marRight w:val="0"/>
                      <w:marTop w:val="0"/>
                      <w:marBottom w:val="0"/>
                      <w:divBdr>
                        <w:top w:val="none" w:sz="0" w:space="0" w:color="auto"/>
                        <w:left w:val="none" w:sz="0" w:space="0" w:color="auto"/>
                        <w:bottom w:val="none" w:sz="0" w:space="0" w:color="auto"/>
                        <w:right w:val="none" w:sz="0" w:space="0" w:color="auto"/>
                      </w:divBdr>
                    </w:div>
                    <w:div w:id="1126965287">
                      <w:marLeft w:val="0"/>
                      <w:marRight w:val="0"/>
                      <w:marTop w:val="0"/>
                      <w:marBottom w:val="0"/>
                      <w:divBdr>
                        <w:top w:val="none" w:sz="0" w:space="0" w:color="auto"/>
                        <w:left w:val="none" w:sz="0" w:space="0" w:color="auto"/>
                        <w:bottom w:val="none" w:sz="0" w:space="0" w:color="auto"/>
                        <w:right w:val="none" w:sz="0" w:space="0" w:color="auto"/>
                      </w:divBdr>
                      <w:divsChild>
                        <w:div w:id="871455262">
                          <w:marLeft w:val="0"/>
                          <w:marRight w:val="0"/>
                          <w:marTop w:val="0"/>
                          <w:marBottom w:val="0"/>
                          <w:divBdr>
                            <w:top w:val="none" w:sz="0" w:space="0" w:color="auto"/>
                            <w:left w:val="none" w:sz="0" w:space="0" w:color="auto"/>
                            <w:bottom w:val="none" w:sz="0" w:space="0" w:color="auto"/>
                            <w:right w:val="none" w:sz="0" w:space="0" w:color="auto"/>
                          </w:divBdr>
                          <w:divsChild>
                            <w:div w:id="802120800">
                              <w:marLeft w:val="0"/>
                              <w:marRight w:val="0"/>
                              <w:marTop w:val="0"/>
                              <w:marBottom w:val="0"/>
                              <w:divBdr>
                                <w:top w:val="none" w:sz="0" w:space="0" w:color="auto"/>
                                <w:left w:val="none" w:sz="0" w:space="0" w:color="auto"/>
                                <w:bottom w:val="none" w:sz="0" w:space="0" w:color="auto"/>
                                <w:right w:val="none" w:sz="0" w:space="0" w:color="auto"/>
                              </w:divBdr>
                            </w:div>
                            <w:div w:id="351416183">
                              <w:marLeft w:val="0"/>
                              <w:marRight w:val="0"/>
                              <w:marTop w:val="0"/>
                              <w:marBottom w:val="0"/>
                              <w:divBdr>
                                <w:top w:val="none" w:sz="0" w:space="0" w:color="auto"/>
                                <w:left w:val="none" w:sz="0" w:space="0" w:color="auto"/>
                                <w:bottom w:val="none" w:sz="0" w:space="0" w:color="auto"/>
                                <w:right w:val="none" w:sz="0" w:space="0" w:color="auto"/>
                              </w:divBdr>
                              <w:divsChild>
                                <w:div w:id="456879916">
                                  <w:marLeft w:val="0"/>
                                  <w:marRight w:val="0"/>
                                  <w:marTop w:val="0"/>
                                  <w:marBottom w:val="0"/>
                                  <w:divBdr>
                                    <w:top w:val="none" w:sz="0" w:space="0" w:color="auto"/>
                                    <w:left w:val="none" w:sz="0" w:space="0" w:color="auto"/>
                                    <w:bottom w:val="none" w:sz="0" w:space="0" w:color="auto"/>
                                    <w:right w:val="none" w:sz="0" w:space="0" w:color="auto"/>
                                  </w:divBdr>
                                </w:div>
                              </w:divsChild>
                            </w:div>
                            <w:div w:id="1715303392">
                              <w:marLeft w:val="0"/>
                              <w:marRight w:val="0"/>
                              <w:marTop w:val="0"/>
                              <w:marBottom w:val="0"/>
                              <w:divBdr>
                                <w:top w:val="none" w:sz="0" w:space="0" w:color="auto"/>
                                <w:left w:val="none" w:sz="0" w:space="0" w:color="auto"/>
                                <w:bottom w:val="none" w:sz="0" w:space="0" w:color="auto"/>
                                <w:right w:val="none" w:sz="0" w:space="0" w:color="auto"/>
                              </w:divBdr>
                              <w:divsChild>
                                <w:div w:id="1994406358">
                                  <w:marLeft w:val="0"/>
                                  <w:marRight w:val="0"/>
                                  <w:marTop w:val="0"/>
                                  <w:marBottom w:val="0"/>
                                  <w:divBdr>
                                    <w:top w:val="none" w:sz="0" w:space="0" w:color="auto"/>
                                    <w:left w:val="none" w:sz="0" w:space="0" w:color="auto"/>
                                    <w:bottom w:val="none" w:sz="0" w:space="0" w:color="auto"/>
                                    <w:right w:val="none" w:sz="0" w:space="0" w:color="auto"/>
                                  </w:divBdr>
                                </w:div>
                              </w:divsChild>
                            </w:div>
                            <w:div w:id="818309443">
                              <w:marLeft w:val="0"/>
                              <w:marRight w:val="0"/>
                              <w:marTop w:val="0"/>
                              <w:marBottom w:val="0"/>
                              <w:divBdr>
                                <w:top w:val="none" w:sz="0" w:space="0" w:color="auto"/>
                                <w:left w:val="none" w:sz="0" w:space="0" w:color="auto"/>
                                <w:bottom w:val="none" w:sz="0" w:space="0" w:color="auto"/>
                                <w:right w:val="none" w:sz="0" w:space="0" w:color="auto"/>
                              </w:divBdr>
                              <w:divsChild>
                                <w:div w:id="2059162411">
                                  <w:marLeft w:val="0"/>
                                  <w:marRight w:val="0"/>
                                  <w:marTop w:val="0"/>
                                  <w:marBottom w:val="0"/>
                                  <w:divBdr>
                                    <w:top w:val="none" w:sz="0" w:space="0" w:color="auto"/>
                                    <w:left w:val="none" w:sz="0" w:space="0" w:color="auto"/>
                                    <w:bottom w:val="none" w:sz="0" w:space="0" w:color="auto"/>
                                    <w:right w:val="none" w:sz="0" w:space="0" w:color="auto"/>
                                  </w:divBdr>
                                </w:div>
                              </w:divsChild>
                            </w:div>
                            <w:div w:id="1219822811">
                              <w:marLeft w:val="0"/>
                              <w:marRight w:val="0"/>
                              <w:marTop w:val="0"/>
                              <w:marBottom w:val="0"/>
                              <w:divBdr>
                                <w:top w:val="none" w:sz="0" w:space="0" w:color="auto"/>
                                <w:left w:val="none" w:sz="0" w:space="0" w:color="auto"/>
                                <w:bottom w:val="none" w:sz="0" w:space="0" w:color="auto"/>
                                <w:right w:val="none" w:sz="0" w:space="0" w:color="auto"/>
                              </w:divBdr>
                              <w:divsChild>
                                <w:div w:id="1434128440">
                                  <w:marLeft w:val="0"/>
                                  <w:marRight w:val="0"/>
                                  <w:marTop w:val="0"/>
                                  <w:marBottom w:val="0"/>
                                  <w:divBdr>
                                    <w:top w:val="none" w:sz="0" w:space="0" w:color="auto"/>
                                    <w:left w:val="none" w:sz="0" w:space="0" w:color="auto"/>
                                    <w:bottom w:val="none" w:sz="0" w:space="0" w:color="auto"/>
                                    <w:right w:val="none" w:sz="0" w:space="0" w:color="auto"/>
                                  </w:divBdr>
                                </w:div>
                              </w:divsChild>
                            </w:div>
                            <w:div w:id="141894551">
                              <w:marLeft w:val="0"/>
                              <w:marRight w:val="0"/>
                              <w:marTop w:val="0"/>
                              <w:marBottom w:val="0"/>
                              <w:divBdr>
                                <w:top w:val="none" w:sz="0" w:space="0" w:color="auto"/>
                                <w:left w:val="none" w:sz="0" w:space="0" w:color="auto"/>
                                <w:bottom w:val="none" w:sz="0" w:space="0" w:color="auto"/>
                                <w:right w:val="none" w:sz="0" w:space="0" w:color="auto"/>
                              </w:divBdr>
                              <w:divsChild>
                                <w:div w:id="1450198518">
                                  <w:marLeft w:val="0"/>
                                  <w:marRight w:val="0"/>
                                  <w:marTop w:val="0"/>
                                  <w:marBottom w:val="0"/>
                                  <w:divBdr>
                                    <w:top w:val="none" w:sz="0" w:space="0" w:color="auto"/>
                                    <w:left w:val="none" w:sz="0" w:space="0" w:color="auto"/>
                                    <w:bottom w:val="none" w:sz="0" w:space="0" w:color="auto"/>
                                    <w:right w:val="none" w:sz="0" w:space="0" w:color="auto"/>
                                  </w:divBdr>
                                </w:div>
                              </w:divsChild>
                            </w:div>
                            <w:div w:id="553389197">
                              <w:marLeft w:val="0"/>
                              <w:marRight w:val="0"/>
                              <w:marTop w:val="0"/>
                              <w:marBottom w:val="0"/>
                              <w:divBdr>
                                <w:top w:val="none" w:sz="0" w:space="0" w:color="auto"/>
                                <w:left w:val="none" w:sz="0" w:space="0" w:color="auto"/>
                                <w:bottom w:val="none" w:sz="0" w:space="0" w:color="auto"/>
                                <w:right w:val="none" w:sz="0" w:space="0" w:color="auto"/>
                              </w:divBdr>
                              <w:divsChild>
                                <w:div w:id="1526408282">
                                  <w:marLeft w:val="0"/>
                                  <w:marRight w:val="0"/>
                                  <w:marTop w:val="0"/>
                                  <w:marBottom w:val="0"/>
                                  <w:divBdr>
                                    <w:top w:val="none" w:sz="0" w:space="0" w:color="auto"/>
                                    <w:left w:val="none" w:sz="0" w:space="0" w:color="auto"/>
                                    <w:bottom w:val="none" w:sz="0" w:space="0" w:color="auto"/>
                                    <w:right w:val="none" w:sz="0" w:space="0" w:color="auto"/>
                                  </w:divBdr>
                                </w:div>
                              </w:divsChild>
                            </w:div>
                            <w:div w:id="878787644">
                              <w:marLeft w:val="0"/>
                              <w:marRight w:val="0"/>
                              <w:marTop w:val="0"/>
                              <w:marBottom w:val="0"/>
                              <w:divBdr>
                                <w:top w:val="none" w:sz="0" w:space="0" w:color="auto"/>
                                <w:left w:val="none" w:sz="0" w:space="0" w:color="auto"/>
                                <w:bottom w:val="none" w:sz="0" w:space="0" w:color="auto"/>
                                <w:right w:val="none" w:sz="0" w:space="0" w:color="auto"/>
                              </w:divBdr>
                              <w:divsChild>
                                <w:div w:id="312106722">
                                  <w:marLeft w:val="0"/>
                                  <w:marRight w:val="0"/>
                                  <w:marTop w:val="0"/>
                                  <w:marBottom w:val="0"/>
                                  <w:divBdr>
                                    <w:top w:val="none" w:sz="0" w:space="0" w:color="auto"/>
                                    <w:left w:val="none" w:sz="0" w:space="0" w:color="auto"/>
                                    <w:bottom w:val="none" w:sz="0" w:space="0" w:color="auto"/>
                                    <w:right w:val="none" w:sz="0" w:space="0" w:color="auto"/>
                                  </w:divBdr>
                                </w:div>
                              </w:divsChild>
                            </w:div>
                            <w:div w:id="250815090">
                              <w:marLeft w:val="0"/>
                              <w:marRight w:val="0"/>
                              <w:marTop w:val="0"/>
                              <w:marBottom w:val="0"/>
                              <w:divBdr>
                                <w:top w:val="none" w:sz="0" w:space="0" w:color="auto"/>
                                <w:left w:val="none" w:sz="0" w:space="0" w:color="auto"/>
                                <w:bottom w:val="none" w:sz="0" w:space="0" w:color="auto"/>
                                <w:right w:val="none" w:sz="0" w:space="0" w:color="auto"/>
                              </w:divBdr>
                              <w:divsChild>
                                <w:div w:id="1992560077">
                                  <w:marLeft w:val="0"/>
                                  <w:marRight w:val="0"/>
                                  <w:marTop w:val="0"/>
                                  <w:marBottom w:val="0"/>
                                  <w:divBdr>
                                    <w:top w:val="none" w:sz="0" w:space="0" w:color="auto"/>
                                    <w:left w:val="none" w:sz="0" w:space="0" w:color="auto"/>
                                    <w:bottom w:val="none" w:sz="0" w:space="0" w:color="auto"/>
                                    <w:right w:val="none" w:sz="0" w:space="0" w:color="auto"/>
                                  </w:divBdr>
                                </w:div>
                              </w:divsChild>
                            </w:div>
                            <w:div w:id="1499692920">
                              <w:marLeft w:val="0"/>
                              <w:marRight w:val="0"/>
                              <w:marTop w:val="0"/>
                              <w:marBottom w:val="0"/>
                              <w:divBdr>
                                <w:top w:val="none" w:sz="0" w:space="0" w:color="auto"/>
                                <w:left w:val="none" w:sz="0" w:space="0" w:color="auto"/>
                                <w:bottom w:val="none" w:sz="0" w:space="0" w:color="auto"/>
                                <w:right w:val="none" w:sz="0" w:space="0" w:color="auto"/>
                              </w:divBdr>
                              <w:divsChild>
                                <w:div w:id="143091408">
                                  <w:marLeft w:val="0"/>
                                  <w:marRight w:val="0"/>
                                  <w:marTop w:val="0"/>
                                  <w:marBottom w:val="0"/>
                                  <w:divBdr>
                                    <w:top w:val="none" w:sz="0" w:space="0" w:color="auto"/>
                                    <w:left w:val="none" w:sz="0" w:space="0" w:color="auto"/>
                                    <w:bottom w:val="none" w:sz="0" w:space="0" w:color="auto"/>
                                    <w:right w:val="none" w:sz="0" w:space="0" w:color="auto"/>
                                  </w:divBdr>
                                </w:div>
                              </w:divsChild>
                            </w:div>
                            <w:div w:id="173882503">
                              <w:marLeft w:val="0"/>
                              <w:marRight w:val="0"/>
                              <w:marTop w:val="0"/>
                              <w:marBottom w:val="0"/>
                              <w:divBdr>
                                <w:top w:val="none" w:sz="0" w:space="0" w:color="auto"/>
                                <w:left w:val="none" w:sz="0" w:space="0" w:color="auto"/>
                                <w:bottom w:val="none" w:sz="0" w:space="0" w:color="auto"/>
                                <w:right w:val="none" w:sz="0" w:space="0" w:color="auto"/>
                              </w:divBdr>
                              <w:divsChild>
                                <w:div w:id="1521621211">
                                  <w:marLeft w:val="0"/>
                                  <w:marRight w:val="0"/>
                                  <w:marTop w:val="0"/>
                                  <w:marBottom w:val="0"/>
                                  <w:divBdr>
                                    <w:top w:val="none" w:sz="0" w:space="0" w:color="auto"/>
                                    <w:left w:val="none" w:sz="0" w:space="0" w:color="auto"/>
                                    <w:bottom w:val="none" w:sz="0" w:space="0" w:color="auto"/>
                                    <w:right w:val="none" w:sz="0" w:space="0" w:color="auto"/>
                                  </w:divBdr>
                                </w:div>
                              </w:divsChild>
                            </w:div>
                            <w:div w:id="2020112410">
                              <w:marLeft w:val="0"/>
                              <w:marRight w:val="0"/>
                              <w:marTop w:val="0"/>
                              <w:marBottom w:val="0"/>
                              <w:divBdr>
                                <w:top w:val="none" w:sz="0" w:space="0" w:color="auto"/>
                                <w:left w:val="none" w:sz="0" w:space="0" w:color="auto"/>
                                <w:bottom w:val="none" w:sz="0" w:space="0" w:color="auto"/>
                                <w:right w:val="none" w:sz="0" w:space="0" w:color="auto"/>
                              </w:divBdr>
                              <w:divsChild>
                                <w:div w:id="407504376">
                                  <w:marLeft w:val="0"/>
                                  <w:marRight w:val="0"/>
                                  <w:marTop w:val="0"/>
                                  <w:marBottom w:val="0"/>
                                  <w:divBdr>
                                    <w:top w:val="none" w:sz="0" w:space="0" w:color="auto"/>
                                    <w:left w:val="none" w:sz="0" w:space="0" w:color="auto"/>
                                    <w:bottom w:val="none" w:sz="0" w:space="0" w:color="auto"/>
                                    <w:right w:val="none" w:sz="0" w:space="0" w:color="auto"/>
                                  </w:divBdr>
                                </w:div>
                              </w:divsChild>
                            </w:div>
                            <w:div w:id="1049692938">
                              <w:marLeft w:val="0"/>
                              <w:marRight w:val="0"/>
                              <w:marTop w:val="0"/>
                              <w:marBottom w:val="0"/>
                              <w:divBdr>
                                <w:top w:val="none" w:sz="0" w:space="0" w:color="auto"/>
                                <w:left w:val="none" w:sz="0" w:space="0" w:color="auto"/>
                                <w:bottom w:val="none" w:sz="0" w:space="0" w:color="auto"/>
                                <w:right w:val="none" w:sz="0" w:space="0" w:color="auto"/>
                              </w:divBdr>
                              <w:divsChild>
                                <w:div w:id="966593285">
                                  <w:marLeft w:val="0"/>
                                  <w:marRight w:val="0"/>
                                  <w:marTop w:val="0"/>
                                  <w:marBottom w:val="0"/>
                                  <w:divBdr>
                                    <w:top w:val="none" w:sz="0" w:space="0" w:color="auto"/>
                                    <w:left w:val="none" w:sz="0" w:space="0" w:color="auto"/>
                                    <w:bottom w:val="none" w:sz="0" w:space="0" w:color="auto"/>
                                    <w:right w:val="none" w:sz="0" w:space="0" w:color="auto"/>
                                  </w:divBdr>
                                </w:div>
                              </w:divsChild>
                            </w:div>
                            <w:div w:id="1069884899">
                              <w:marLeft w:val="0"/>
                              <w:marRight w:val="0"/>
                              <w:marTop w:val="0"/>
                              <w:marBottom w:val="0"/>
                              <w:divBdr>
                                <w:top w:val="none" w:sz="0" w:space="0" w:color="auto"/>
                                <w:left w:val="none" w:sz="0" w:space="0" w:color="auto"/>
                                <w:bottom w:val="none" w:sz="0" w:space="0" w:color="auto"/>
                                <w:right w:val="none" w:sz="0" w:space="0" w:color="auto"/>
                              </w:divBdr>
                              <w:divsChild>
                                <w:div w:id="167404269">
                                  <w:marLeft w:val="0"/>
                                  <w:marRight w:val="0"/>
                                  <w:marTop w:val="0"/>
                                  <w:marBottom w:val="0"/>
                                  <w:divBdr>
                                    <w:top w:val="none" w:sz="0" w:space="0" w:color="auto"/>
                                    <w:left w:val="none" w:sz="0" w:space="0" w:color="auto"/>
                                    <w:bottom w:val="none" w:sz="0" w:space="0" w:color="auto"/>
                                    <w:right w:val="none" w:sz="0" w:space="0" w:color="auto"/>
                                  </w:divBdr>
                                </w:div>
                              </w:divsChild>
                            </w:div>
                            <w:div w:id="756172228">
                              <w:marLeft w:val="0"/>
                              <w:marRight w:val="0"/>
                              <w:marTop w:val="0"/>
                              <w:marBottom w:val="0"/>
                              <w:divBdr>
                                <w:top w:val="none" w:sz="0" w:space="0" w:color="auto"/>
                                <w:left w:val="none" w:sz="0" w:space="0" w:color="auto"/>
                                <w:bottom w:val="none" w:sz="0" w:space="0" w:color="auto"/>
                                <w:right w:val="none" w:sz="0" w:space="0" w:color="auto"/>
                              </w:divBdr>
                              <w:divsChild>
                                <w:div w:id="363292700">
                                  <w:marLeft w:val="0"/>
                                  <w:marRight w:val="0"/>
                                  <w:marTop w:val="0"/>
                                  <w:marBottom w:val="0"/>
                                  <w:divBdr>
                                    <w:top w:val="none" w:sz="0" w:space="0" w:color="auto"/>
                                    <w:left w:val="none" w:sz="0" w:space="0" w:color="auto"/>
                                    <w:bottom w:val="none" w:sz="0" w:space="0" w:color="auto"/>
                                    <w:right w:val="none" w:sz="0" w:space="0" w:color="auto"/>
                                  </w:divBdr>
                                </w:div>
                              </w:divsChild>
                            </w:div>
                            <w:div w:id="538397715">
                              <w:marLeft w:val="0"/>
                              <w:marRight w:val="0"/>
                              <w:marTop w:val="0"/>
                              <w:marBottom w:val="0"/>
                              <w:divBdr>
                                <w:top w:val="none" w:sz="0" w:space="0" w:color="auto"/>
                                <w:left w:val="none" w:sz="0" w:space="0" w:color="auto"/>
                                <w:bottom w:val="none" w:sz="0" w:space="0" w:color="auto"/>
                                <w:right w:val="none" w:sz="0" w:space="0" w:color="auto"/>
                              </w:divBdr>
                              <w:divsChild>
                                <w:div w:id="274944714">
                                  <w:marLeft w:val="0"/>
                                  <w:marRight w:val="0"/>
                                  <w:marTop w:val="0"/>
                                  <w:marBottom w:val="0"/>
                                  <w:divBdr>
                                    <w:top w:val="none" w:sz="0" w:space="0" w:color="auto"/>
                                    <w:left w:val="none" w:sz="0" w:space="0" w:color="auto"/>
                                    <w:bottom w:val="none" w:sz="0" w:space="0" w:color="auto"/>
                                    <w:right w:val="none" w:sz="0" w:space="0" w:color="auto"/>
                                  </w:divBdr>
                                </w:div>
                              </w:divsChild>
                            </w:div>
                            <w:div w:id="1710690400">
                              <w:marLeft w:val="0"/>
                              <w:marRight w:val="0"/>
                              <w:marTop w:val="0"/>
                              <w:marBottom w:val="0"/>
                              <w:divBdr>
                                <w:top w:val="none" w:sz="0" w:space="0" w:color="auto"/>
                                <w:left w:val="none" w:sz="0" w:space="0" w:color="auto"/>
                                <w:bottom w:val="none" w:sz="0" w:space="0" w:color="auto"/>
                                <w:right w:val="none" w:sz="0" w:space="0" w:color="auto"/>
                              </w:divBdr>
                              <w:divsChild>
                                <w:div w:id="456610037">
                                  <w:marLeft w:val="0"/>
                                  <w:marRight w:val="0"/>
                                  <w:marTop w:val="0"/>
                                  <w:marBottom w:val="0"/>
                                  <w:divBdr>
                                    <w:top w:val="none" w:sz="0" w:space="0" w:color="auto"/>
                                    <w:left w:val="none" w:sz="0" w:space="0" w:color="auto"/>
                                    <w:bottom w:val="none" w:sz="0" w:space="0" w:color="auto"/>
                                    <w:right w:val="none" w:sz="0" w:space="0" w:color="auto"/>
                                  </w:divBdr>
                                </w:div>
                              </w:divsChild>
                            </w:div>
                            <w:div w:id="1689599810">
                              <w:marLeft w:val="0"/>
                              <w:marRight w:val="0"/>
                              <w:marTop w:val="0"/>
                              <w:marBottom w:val="0"/>
                              <w:divBdr>
                                <w:top w:val="none" w:sz="0" w:space="0" w:color="auto"/>
                                <w:left w:val="none" w:sz="0" w:space="0" w:color="auto"/>
                                <w:bottom w:val="none" w:sz="0" w:space="0" w:color="auto"/>
                                <w:right w:val="none" w:sz="0" w:space="0" w:color="auto"/>
                              </w:divBdr>
                              <w:divsChild>
                                <w:div w:id="1378361726">
                                  <w:marLeft w:val="0"/>
                                  <w:marRight w:val="0"/>
                                  <w:marTop w:val="0"/>
                                  <w:marBottom w:val="0"/>
                                  <w:divBdr>
                                    <w:top w:val="none" w:sz="0" w:space="0" w:color="auto"/>
                                    <w:left w:val="none" w:sz="0" w:space="0" w:color="auto"/>
                                    <w:bottom w:val="none" w:sz="0" w:space="0" w:color="auto"/>
                                    <w:right w:val="none" w:sz="0" w:space="0" w:color="auto"/>
                                  </w:divBdr>
                                </w:div>
                              </w:divsChild>
                            </w:div>
                            <w:div w:id="2052537978">
                              <w:marLeft w:val="0"/>
                              <w:marRight w:val="0"/>
                              <w:marTop w:val="0"/>
                              <w:marBottom w:val="0"/>
                              <w:divBdr>
                                <w:top w:val="none" w:sz="0" w:space="0" w:color="auto"/>
                                <w:left w:val="none" w:sz="0" w:space="0" w:color="auto"/>
                                <w:bottom w:val="none" w:sz="0" w:space="0" w:color="auto"/>
                                <w:right w:val="none" w:sz="0" w:space="0" w:color="auto"/>
                              </w:divBdr>
                              <w:divsChild>
                                <w:div w:id="1508522471">
                                  <w:marLeft w:val="0"/>
                                  <w:marRight w:val="0"/>
                                  <w:marTop w:val="0"/>
                                  <w:marBottom w:val="0"/>
                                  <w:divBdr>
                                    <w:top w:val="none" w:sz="0" w:space="0" w:color="auto"/>
                                    <w:left w:val="none" w:sz="0" w:space="0" w:color="auto"/>
                                    <w:bottom w:val="none" w:sz="0" w:space="0" w:color="auto"/>
                                    <w:right w:val="none" w:sz="0" w:space="0" w:color="auto"/>
                                  </w:divBdr>
                                </w:div>
                              </w:divsChild>
                            </w:div>
                            <w:div w:id="2109032932">
                              <w:marLeft w:val="0"/>
                              <w:marRight w:val="0"/>
                              <w:marTop w:val="0"/>
                              <w:marBottom w:val="0"/>
                              <w:divBdr>
                                <w:top w:val="none" w:sz="0" w:space="0" w:color="auto"/>
                                <w:left w:val="none" w:sz="0" w:space="0" w:color="auto"/>
                                <w:bottom w:val="none" w:sz="0" w:space="0" w:color="auto"/>
                                <w:right w:val="none" w:sz="0" w:space="0" w:color="auto"/>
                              </w:divBdr>
                              <w:divsChild>
                                <w:div w:id="1947613765">
                                  <w:marLeft w:val="0"/>
                                  <w:marRight w:val="0"/>
                                  <w:marTop w:val="0"/>
                                  <w:marBottom w:val="0"/>
                                  <w:divBdr>
                                    <w:top w:val="none" w:sz="0" w:space="0" w:color="auto"/>
                                    <w:left w:val="none" w:sz="0" w:space="0" w:color="auto"/>
                                    <w:bottom w:val="none" w:sz="0" w:space="0" w:color="auto"/>
                                    <w:right w:val="none" w:sz="0" w:space="0" w:color="auto"/>
                                  </w:divBdr>
                                </w:div>
                              </w:divsChild>
                            </w:div>
                            <w:div w:id="1973827861">
                              <w:marLeft w:val="0"/>
                              <w:marRight w:val="0"/>
                              <w:marTop w:val="0"/>
                              <w:marBottom w:val="0"/>
                              <w:divBdr>
                                <w:top w:val="none" w:sz="0" w:space="0" w:color="auto"/>
                                <w:left w:val="none" w:sz="0" w:space="0" w:color="auto"/>
                                <w:bottom w:val="none" w:sz="0" w:space="0" w:color="auto"/>
                                <w:right w:val="none" w:sz="0" w:space="0" w:color="auto"/>
                              </w:divBdr>
                              <w:divsChild>
                                <w:div w:id="1100293919">
                                  <w:marLeft w:val="0"/>
                                  <w:marRight w:val="0"/>
                                  <w:marTop w:val="0"/>
                                  <w:marBottom w:val="0"/>
                                  <w:divBdr>
                                    <w:top w:val="none" w:sz="0" w:space="0" w:color="auto"/>
                                    <w:left w:val="none" w:sz="0" w:space="0" w:color="auto"/>
                                    <w:bottom w:val="none" w:sz="0" w:space="0" w:color="auto"/>
                                    <w:right w:val="none" w:sz="0" w:space="0" w:color="auto"/>
                                  </w:divBdr>
                                </w:div>
                              </w:divsChild>
                            </w:div>
                            <w:div w:id="623849178">
                              <w:marLeft w:val="0"/>
                              <w:marRight w:val="0"/>
                              <w:marTop w:val="0"/>
                              <w:marBottom w:val="0"/>
                              <w:divBdr>
                                <w:top w:val="none" w:sz="0" w:space="0" w:color="auto"/>
                                <w:left w:val="none" w:sz="0" w:space="0" w:color="auto"/>
                                <w:bottom w:val="none" w:sz="0" w:space="0" w:color="auto"/>
                                <w:right w:val="none" w:sz="0" w:space="0" w:color="auto"/>
                              </w:divBdr>
                              <w:divsChild>
                                <w:div w:id="1747220733">
                                  <w:marLeft w:val="0"/>
                                  <w:marRight w:val="0"/>
                                  <w:marTop w:val="0"/>
                                  <w:marBottom w:val="0"/>
                                  <w:divBdr>
                                    <w:top w:val="none" w:sz="0" w:space="0" w:color="auto"/>
                                    <w:left w:val="none" w:sz="0" w:space="0" w:color="auto"/>
                                    <w:bottom w:val="none" w:sz="0" w:space="0" w:color="auto"/>
                                    <w:right w:val="none" w:sz="0" w:space="0" w:color="auto"/>
                                  </w:divBdr>
                                </w:div>
                              </w:divsChild>
                            </w:div>
                            <w:div w:id="736437968">
                              <w:marLeft w:val="0"/>
                              <w:marRight w:val="0"/>
                              <w:marTop w:val="0"/>
                              <w:marBottom w:val="0"/>
                              <w:divBdr>
                                <w:top w:val="none" w:sz="0" w:space="0" w:color="auto"/>
                                <w:left w:val="none" w:sz="0" w:space="0" w:color="auto"/>
                                <w:bottom w:val="none" w:sz="0" w:space="0" w:color="auto"/>
                                <w:right w:val="none" w:sz="0" w:space="0" w:color="auto"/>
                              </w:divBdr>
                            </w:div>
                            <w:div w:id="69159076">
                              <w:marLeft w:val="0"/>
                              <w:marRight w:val="0"/>
                              <w:marTop w:val="0"/>
                              <w:marBottom w:val="0"/>
                              <w:divBdr>
                                <w:top w:val="none" w:sz="0" w:space="0" w:color="auto"/>
                                <w:left w:val="none" w:sz="0" w:space="0" w:color="auto"/>
                                <w:bottom w:val="none" w:sz="0" w:space="0" w:color="auto"/>
                                <w:right w:val="none" w:sz="0" w:space="0" w:color="auto"/>
                              </w:divBdr>
                            </w:div>
                            <w:div w:id="1276714179">
                              <w:marLeft w:val="0"/>
                              <w:marRight w:val="0"/>
                              <w:marTop w:val="0"/>
                              <w:marBottom w:val="0"/>
                              <w:divBdr>
                                <w:top w:val="none" w:sz="0" w:space="0" w:color="auto"/>
                                <w:left w:val="none" w:sz="0" w:space="0" w:color="auto"/>
                                <w:bottom w:val="none" w:sz="0" w:space="0" w:color="auto"/>
                                <w:right w:val="none" w:sz="0" w:space="0" w:color="auto"/>
                              </w:divBdr>
                            </w:div>
                            <w:div w:id="2006127099">
                              <w:marLeft w:val="0"/>
                              <w:marRight w:val="0"/>
                              <w:marTop w:val="0"/>
                              <w:marBottom w:val="0"/>
                              <w:divBdr>
                                <w:top w:val="none" w:sz="0" w:space="0" w:color="auto"/>
                                <w:left w:val="none" w:sz="0" w:space="0" w:color="auto"/>
                                <w:bottom w:val="none" w:sz="0" w:space="0" w:color="auto"/>
                                <w:right w:val="none" w:sz="0" w:space="0" w:color="auto"/>
                              </w:divBdr>
                            </w:div>
                            <w:div w:id="1227761641">
                              <w:marLeft w:val="0"/>
                              <w:marRight w:val="0"/>
                              <w:marTop w:val="0"/>
                              <w:marBottom w:val="0"/>
                              <w:divBdr>
                                <w:top w:val="none" w:sz="0" w:space="0" w:color="auto"/>
                                <w:left w:val="none" w:sz="0" w:space="0" w:color="auto"/>
                                <w:bottom w:val="none" w:sz="0" w:space="0" w:color="auto"/>
                                <w:right w:val="none" w:sz="0" w:space="0" w:color="auto"/>
                              </w:divBdr>
                            </w:div>
                            <w:div w:id="900553826">
                              <w:marLeft w:val="0"/>
                              <w:marRight w:val="0"/>
                              <w:marTop w:val="0"/>
                              <w:marBottom w:val="0"/>
                              <w:divBdr>
                                <w:top w:val="none" w:sz="0" w:space="0" w:color="auto"/>
                                <w:left w:val="none" w:sz="0" w:space="0" w:color="auto"/>
                                <w:bottom w:val="none" w:sz="0" w:space="0" w:color="auto"/>
                                <w:right w:val="none" w:sz="0" w:space="0" w:color="auto"/>
                              </w:divBdr>
                            </w:div>
                            <w:div w:id="8153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ms.ntu.edu.sg/MathematicalSciences/MSc-Degrees/Pages/MSc-in-Fintech.aspx" TargetMode="External"/><Relationship Id="rId13" Type="http://schemas.openxmlformats.org/officeDocument/2006/relationships/hyperlink" Target="https://spms.ntu.edu.sg/MathematicalSciences/MSc-Degrees/Pages/MSc-in-Fintech.aspx"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spms.ntu.edu.sg/MathematicalSciences/MSc-Degrees/Pages/MSc-in-Fintech.aspx" TargetMode="External"/><Relationship Id="rId17" Type="http://schemas.openxmlformats.org/officeDocument/2006/relationships/hyperlink" Target="mailto:MScFinTech@ntu.edu.sg" TargetMode="External"/><Relationship Id="rId2" Type="http://schemas.openxmlformats.org/officeDocument/2006/relationships/styles" Target="styles.xml"/><Relationship Id="rId16" Type="http://schemas.openxmlformats.org/officeDocument/2006/relationships/hyperlink" Target="https://wis.ntu.edu.sg/webexe/owa/coal_main.noti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pms.ntu.edu.sg/MathematicalSciences/MSc-Degrees/Pages/MSc-in-Fintech.aspx" TargetMode="External"/><Relationship Id="rId5" Type="http://schemas.openxmlformats.org/officeDocument/2006/relationships/hyperlink" Target="https://www.ntu.edu.sg/" TargetMode="External"/><Relationship Id="rId15" Type="http://schemas.openxmlformats.org/officeDocument/2006/relationships/hyperlink" Target="http://admissions.ntu.edu.sg/graduate/coursework/HowDoIApply/Pages/ApplyOnline.aspx" TargetMode="External"/><Relationship Id="rId10" Type="http://schemas.openxmlformats.org/officeDocument/2006/relationships/hyperlink" Target="https://spms.ntu.edu.sg/MathematicalSciences/MSc-Degrees/Pages/MSc-in-Fintech.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ms.ntu.edu.sg/MathematicalSciences/MSc-Degrees/Pages/MSc-in-Fintech.aspx" TargetMode="External"/><Relationship Id="rId14" Type="http://schemas.openxmlformats.org/officeDocument/2006/relationships/hyperlink" Target="https://spms.ntu.edu.sg/MathematicalSciences/MSc-Degrees/Pages/MSc-in-Finte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phucdo</dc:creator>
  <cp:lastModifiedBy>Trung Phan</cp:lastModifiedBy>
  <cp:revision>2</cp:revision>
  <dcterms:created xsi:type="dcterms:W3CDTF">2020-01-15T03:13:00Z</dcterms:created>
  <dcterms:modified xsi:type="dcterms:W3CDTF">2020-08-26T14:17:00Z</dcterms:modified>
</cp:coreProperties>
</file>