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D9ED" w14:textId="77777777" w:rsidR="001F2076" w:rsidRDefault="007F3B32">
      <w:pPr>
        <w:pStyle w:val="Title"/>
      </w:pPr>
      <w:r>
        <w:t>In search of a novel scoring system for Tuberculous Meningitis: a Bayesian Latent Class Approach</w:t>
      </w:r>
    </w:p>
    <w:p w14:paraId="77780E85" w14:textId="77777777" w:rsidR="001F2076" w:rsidRDefault="007F3B32">
      <w:pPr>
        <w:pStyle w:val="Author"/>
      </w:pPr>
      <w:r>
        <w:t xml:space="preserve">Trinh Dong </w:t>
      </w:r>
      <w:proofErr w:type="spellStart"/>
      <w:r>
        <w:t>Huu</w:t>
      </w:r>
      <w:proofErr w:type="spellEnd"/>
      <w:r>
        <w:t xml:space="preserve"> Khanh</w:t>
      </w:r>
      <w:r>
        <w:rPr>
          <w:vertAlign w:val="superscript"/>
        </w:rPr>
        <w:t>1,4</w:t>
      </w:r>
      <w:r>
        <w:t>, Joseph Donovan</w:t>
      </w:r>
      <w:r>
        <w:rPr>
          <w:vertAlign w:val="superscript"/>
        </w:rPr>
        <w:t>3</w:t>
      </w:r>
      <w:r>
        <w:t>, Guy Thwaites</w:t>
      </w:r>
      <w:r>
        <w:rPr>
          <w:vertAlign w:val="superscript"/>
        </w:rPr>
        <w:t>1,2</w:t>
      </w:r>
      <w:r>
        <w:t>, and Ronald Geskus</w:t>
      </w:r>
      <w:r>
        <w:rPr>
          <w:vertAlign w:val="superscript"/>
        </w:rPr>
        <w:t>1,2</w:t>
      </w:r>
    </w:p>
    <w:p w14:paraId="53D1F1B6" w14:textId="77777777" w:rsidR="001F2076" w:rsidRDefault="007F3B32" w:rsidP="006C65B7">
      <w:pPr>
        <w:pStyle w:val="Author"/>
      </w:pPr>
      <w:r>
        <w:t>2021-10-21</w:t>
      </w:r>
    </w:p>
    <w:p w14:paraId="3832B473" w14:textId="77777777" w:rsidR="001F2076" w:rsidRDefault="007F3B32">
      <w:pPr>
        <w:pStyle w:val="FirstParagraph"/>
      </w:pPr>
      <w:r>
        <w:rPr>
          <w:vertAlign w:val="superscript"/>
        </w:rPr>
        <w:t>1</w:t>
      </w:r>
      <w:r>
        <w:t xml:space="preserve"> Oxford University Clinical Research Unit, Centre for Tropical Medicine, Ho Chi Minh City, Vietnam</w:t>
      </w:r>
      <w:r>
        <w:br/>
      </w:r>
      <w:r>
        <w:rPr>
          <w:vertAlign w:val="superscript"/>
        </w:rPr>
        <w:t>2</w:t>
      </w:r>
      <w:r>
        <w:t xml:space="preserve"> Centre for Tropical Medicine and Global Health, Nuffield Department of Medicine, University of Oxford, United Kingdom</w:t>
      </w:r>
      <w:r>
        <w:br/>
      </w:r>
      <w:r>
        <w:rPr>
          <w:vertAlign w:val="superscript"/>
        </w:rPr>
        <w:t>3</w:t>
      </w:r>
      <w:r>
        <w:t xml:space="preserve"> London School of Hygiene and Tropical Medicine, London, United Kingdom</w:t>
      </w:r>
      <w:r>
        <w:br/>
      </w:r>
      <w:r>
        <w:rPr>
          <w:vertAlign w:val="superscript"/>
        </w:rPr>
        <w:t>4</w:t>
      </w:r>
      <w:r>
        <w:t xml:space="preserve"> King’s College London, London, United Kingdom</w:t>
      </w:r>
    </w:p>
    <w:p w14:paraId="189FEEC4" w14:textId="48E05826" w:rsidR="00B83153" w:rsidRDefault="00B83153" w:rsidP="006C3BFC">
      <w:pPr>
        <w:pStyle w:val="Dummy"/>
      </w:pPr>
      <w:bookmarkStart w:id="0" w:name="introduction"/>
      <w:r w:rsidRPr="00D72213">
        <w:t>Abstract</w:t>
      </w:r>
    </w:p>
    <w:p w14:paraId="0C4177BF" w14:textId="7E54DC9A" w:rsidR="001F2076" w:rsidRDefault="007F3B32">
      <w:pPr>
        <w:pStyle w:val="Heading1"/>
      </w:pPr>
      <w:r>
        <w:t>Introduction</w:t>
      </w:r>
    </w:p>
    <w:p w14:paraId="469B974E" w14:textId="77777777" w:rsidR="001F2076" w:rsidRDefault="007F3B32">
      <w:pPr>
        <w:pStyle w:val="FirstParagraph"/>
      </w:pPr>
      <w:r>
        <w:rPr>
          <w:b/>
          <w:bCs/>
        </w:rPr>
        <w:t>Tuberculous meningitis (TBM)</w:t>
      </w:r>
      <w:r>
        <w:t xml:space="preserve"> is the most severe form of tuberculosis. Diagnosing TBM is notoriously challenging, with microbiological confirmation requiring identification of </w:t>
      </w:r>
      <w:r>
        <w:rPr>
          <w:i/>
          <w:iCs/>
        </w:rPr>
        <w:t>Mycobacterium tuberculosis</w:t>
      </w:r>
      <w:r>
        <w:t xml:space="preserve"> in paucibacillary cerebrospinal fluid (CSF). In addition to widely used confirmatory methods of CSF testing for </w:t>
      </w:r>
      <w:r>
        <w:rPr>
          <w:i/>
          <w:iCs/>
        </w:rPr>
        <w:t>M. tuberculosis</w:t>
      </w:r>
      <w:r>
        <w:t xml:space="preserve"> such as </w:t>
      </w:r>
      <w:proofErr w:type="spellStart"/>
      <w:r>
        <w:t>Ziehl-Neelsen</w:t>
      </w:r>
      <w:proofErr w:type="spellEnd"/>
      <w:r>
        <w:t xml:space="preserve"> (ZN) staining, GeneXpert MTB/RIF (</w:t>
      </w:r>
      <w:proofErr w:type="spellStart"/>
      <w:r>
        <w:t>Xpert</w:t>
      </w:r>
      <w:proofErr w:type="spellEnd"/>
      <w:r>
        <w:t xml:space="preserve">), and mycobacterial culture, additional parameters may increase the likelihood of a diagnosis of TBM. Such parameters are illustrated in the uniform case definition for TBM (Marais et al. 2010) where, in the absence of positive microbiological tests, an increased certainty of TBM is assigned in the presence of </w:t>
      </w:r>
      <w:proofErr w:type="gramStart"/>
      <w:r>
        <w:t>particular clinical</w:t>
      </w:r>
      <w:proofErr w:type="gramEnd"/>
      <w:r>
        <w:t xml:space="preserve">, CSF, and imaging findings, or with evidence of non-neurological </w:t>
      </w:r>
      <w:r>
        <w:rPr>
          <w:i/>
          <w:iCs/>
        </w:rPr>
        <w:t>M. tuberculosis</w:t>
      </w:r>
      <w:r>
        <w:t>.</w:t>
      </w:r>
    </w:p>
    <w:p w14:paraId="5A0858A9" w14:textId="0E3286D3" w:rsidR="001F2076" w:rsidRDefault="007F3B32">
      <w:pPr>
        <w:pStyle w:val="BodyText"/>
      </w:pPr>
      <w:r>
        <w:t xml:space="preserve">The uniform case definition, albeit widely adopted in clinical practice, does have its own disadvantages, which mostly born from its expertise base. The </w:t>
      </w:r>
      <w:proofErr w:type="spellStart"/>
      <w:r>
        <w:t>categorised</w:t>
      </w:r>
      <w:proofErr w:type="spellEnd"/>
      <w:r>
        <w:t xml:space="preserve"> representation of TBM risk into </w:t>
      </w:r>
      <w:r>
        <w:rPr>
          <w:i/>
          <w:iCs/>
        </w:rPr>
        <w:t>Definitely no</w:t>
      </w:r>
      <w:r>
        <w:t xml:space="preserve">t, </w:t>
      </w:r>
      <w:r>
        <w:rPr>
          <w:i/>
          <w:iCs/>
        </w:rPr>
        <w:t>Possible, Probable,</w:t>
      </w:r>
      <w:r>
        <w:t xml:space="preserve"> and </w:t>
      </w:r>
      <w:r>
        <w:rPr>
          <w:i/>
          <w:iCs/>
        </w:rPr>
        <w:t>Definite</w:t>
      </w:r>
      <w:r>
        <w:t xml:space="preserve"> rather than actual probability can be hard to interpret, especially when used in estimating diagnostic tests’ sensitivities and specificities and treatment’s response (1). Secondly, scores of risk factors are consensually chosen not statistically built could lead to overestimation and underestimation of the risks (2). Apart from the extreme Definite and </w:t>
      </w:r>
      <w:proofErr w:type="gramStart"/>
      <w:r>
        <w:t>Definitely</w:t>
      </w:r>
      <w:proofErr w:type="gramEnd"/>
      <w:r>
        <w:t xml:space="preserve"> not, which are micro-biologically confirmed, clinical diagnoses outputted from this scoring system is highly uncertain, leave a lot of room to the clinicians’ decision (3). Lastly, the fact that it depends on “slow” laboratorial assays (culturing) likely delays the diagnosis of patients, which </w:t>
      </w:r>
      <w:r w:rsidR="00B83153">
        <w:t>occasionally</w:t>
      </w:r>
      <w:r>
        <w:t xml:space="preserve"> might not be fruitful.</w:t>
      </w:r>
    </w:p>
    <w:p w14:paraId="0D3E369F" w14:textId="77777777" w:rsidR="001F2076" w:rsidRDefault="007F3B32" w:rsidP="00EF15B1">
      <w:pPr>
        <w:pStyle w:val="Heading1"/>
      </w:pPr>
      <w:bookmarkStart w:id="1" w:name="analysis-objectives"/>
      <w:r>
        <w:t>Analysis objectives</w:t>
      </w:r>
    </w:p>
    <w:p w14:paraId="26C22278" w14:textId="77777777" w:rsidR="001F2076" w:rsidRDefault="007F3B32">
      <w:pPr>
        <w:pStyle w:val="FirstParagraph"/>
      </w:pPr>
      <w:r>
        <w:t>The main aims of this analysis are to:</w:t>
      </w:r>
    </w:p>
    <w:p w14:paraId="00B10B9F" w14:textId="77777777" w:rsidR="001F2076" w:rsidRDefault="007F3B32" w:rsidP="00297C2B">
      <w:pPr>
        <w:pStyle w:val="Compact"/>
        <w:numPr>
          <w:ilvl w:val="0"/>
          <w:numId w:val="5"/>
        </w:numPr>
      </w:pPr>
      <w:r>
        <w:t xml:space="preserve">Estimate the latent performances, namely sensitivities and specificities, or current TBM confirmation tests, </w:t>
      </w:r>
      <w:proofErr w:type="gramStart"/>
      <w:r>
        <w:t>taking into account</w:t>
      </w:r>
      <w:proofErr w:type="gramEnd"/>
      <w:r>
        <w:t xml:space="preserve"> the uncertainty in current diagnosis,</w:t>
      </w:r>
    </w:p>
    <w:p w14:paraId="231784D1" w14:textId="77777777" w:rsidR="001F2076" w:rsidRDefault="007F3B32" w:rsidP="00297C2B">
      <w:pPr>
        <w:pStyle w:val="Compact"/>
        <w:numPr>
          <w:ilvl w:val="0"/>
          <w:numId w:val="5"/>
        </w:numPr>
      </w:pPr>
      <w:r>
        <w:lastRenderedPageBreak/>
        <w:t>Re-adjust the current scoring system basing on statistical model which output an estimation of probability of having TBM, on the individual level</w:t>
      </w:r>
    </w:p>
    <w:p w14:paraId="584F064A" w14:textId="77777777" w:rsidR="001F2076" w:rsidRDefault="007F3B32">
      <w:pPr>
        <w:pStyle w:val="FirstParagraph"/>
      </w:pPr>
      <w:r>
        <w:t>As secondary objectives, this analysis also aim to:</w:t>
      </w:r>
    </w:p>
    <w:p w14:paraId="6AB12B58" w14:textId="77777777" w:rsidR="001F2076" w:rsidRDefault="007F3B32" w:rsidP="00297C2B">
      <w:pPr>
        <w:pStyle w:val="Compact"/>
        <w:numPr>
          <w:ilvl w:val="0"/>
          <w:numId w:val="6"/>
        </w:numPr>
      </w:pPr>
      <w:r>
        <w:t xml:space="preserve">Build a simplified scoring system which only needs minimal (ideally clinical-only) information but has the capacity to </w:t>
      </w:r>
      <w:r>
        <w:rPr>
          <w:i/>
          <w:iCs/>
        </w:rPr>
        <w:t>approximate</w:t>
      </w:r>
      <w:r>
        <w:t xml:space="preserve"> the full system’s output</w:t>
      </w:r>
    </w:p>
    <w:p w14:paraId="29D8CB0D" w14:textId="77777777" w:rsidR="001F2076" w:rsidRDefault="007F3B32" w:rsidP="00297C2B">
      <w:pPr>
        <w:pStyle w:val="Compact"/>
        <w:numPr>
          <w:ilvl w:val="0"/>
          <w:numId w:val="6"/>
        </w:numPr>
      </w:pPr>
      <w:r>
        <w:t>Estimate a latent representation of patients’ bacillary burden given that they get TBM which may impact the tests results and patient’s prognosis.</w:t>
      </w:r>
    </w:p>
    <w:p w14:paraId="7CF283C4" w14:textId="77777777" w:rsidR="001F2076" w:rsidRDefault="007F3B32" w:rsidP="006676F1">
      <w:pPr>
        <w:pStyle w:val="Heading1"/>
      </w:pPr>
      <w:bookmarkStart w:id="2" w:name="prior-knowledges-in-the-field"/>
      <w:bookmarkEnd w:id="1"/>
      <w:r>
        <w:t>Prior knowledges in the field</w:t>
      </w:r>
    </w:p>
    <w:p w14:paraId="7EB5F26E" w14:textId="77777777" w:rsidR="001F2076" w:rsidRDefault="007F3B32">
      <w:pPr>
        <w:pStyle w:val="FirstParagraph"/>
      </w:pPr>
      <w:r>
        <w:t xml:space="preserve">Estimated sensitivity and specificity of confirmation tests based on the TBM case definition (Marais et al. 2010) are listed in table </w:t>
      </w:r>
      <w:hyperlink w:anchor="confirmation-test-tbl">
        <w:r>
          <w:fldChar w:fldCharType="begin"/>
        </w:r>
        <w:r>
          <w:instrText xml:space="preserve"> REF confirmation-test-tbl \h</w:instrText>
        </w:r>
        <w:r>
          <w:fldChar w:fldCharType="end"/>
        </w:r>
      </w:hyperlink>
      <w:r>
        <w:t xml:space="preserve"> (</w:t>
      </w:r>
      <w:proofErr w:type="spellStart"/>
      <w:r>
        <w:t>Nhu</w:t>
      </w:r>
      <w:proofErr w:type="spellEnd"/>
      <w:r>
        <w:t xml:space="preserve"> et al. 2013).</w:t>
      </w:r>
    </w:p>
    <w:p w14:paraId="25226C76" w14:textId="77777777" w:rsidR="001F2076" w:rsidRDefault="007F3B32">
      <w:pPr>
        <w:pStyle w:val="TableCaption"/>
      </w:pPr>
      <w:r>
        <w:t xml:space="preserve">Table </w:t>
      </w:r>
      <w:bookmarkStart w:id="3" w:name="confirmation-test-tab"/>
      <w:r>
        <w:fldChar w:fldCharType="begin"/>
      </w:r>
      <w:r>
        <w:instrText>SEQ tab \* Arabic</w:instrText>
      </w:r>
      <w:r>
        <w:fldChar w:fldCharType="end"/>
      </w:r>
      <w:bookmarkEnd w:id="3"/>
      <w:r>
        <w:t xml:space="preserve">: Prior knowledge of </w:t>
      </w:r>
      <w:proofErr w:type="spellStart"/>
      <w:r>
        <w:t>sensitvity</w:t>
      </w:r>
      <w:proofErr w:type="spellEnd"/>
      <w:r>
        <w:t xml:space="preserve"> and </w:t>
      </w:r>
      <w:proofErr w:type="spellStart"/>
      <w:r>
        <w:t>specifity</w:t>
      </w:r>
      <w:proofErr w:type="spellEnd"/>
      <w:r>
        <w:t xml:space="preserve"> for TBM confirmation tests</w:t>
      </w:r>
    </w:p>
    <w:tbl>
      <w:tblPr>
        <w:tblW w:w="0" w:type="auto"/>
        <w:jc w:val="center"/>
        <w:tblLayout w:type="fixed"/>
        <w:tblLook w:val="0420" w:firstRow="1" w:lastRow="0" w:firstColumn="0" w:lastColumn="0" w:noHBand="0" w:noVBand="1"/>
      </w:tblPr>
      <w:tblGrid>
        <w:gridCol w:w="2880"/>
        <w:gridCol w:w="2880"/>
        <w:gridCol w:w="2880"/>
      </w:tblGrid>
      <w:tr w:rsidR="001F2076" w14:paraId="42D7982F" w14:textId="77777777">
        <w:trPr>
          <w:cantSplit/>
          <w:tblHeader/>
          <w:jc w:val="center"/>
        </w:trPr>
        <w:tc>
          <w:tcPr>
            <w:tcW w:w="2880" w:type="dxa"/>
            <w:shd w:val="clear" w:color="auto" w:fill="CFCFCF"/>
            <w:tcMar>
              <w:top w:w="0" w:type="dxa"/>
              <w:left w:w="0" w:type="dxa"/>
              <w:bottom w:w="0" w:type="dxa"/>
              <w:right w:w="0" w:type="dxa"/>
            </w:tcMar>
            <w:vAlign w:val="center"/>
          </w:tcPr>
          <w:p w14:paraId="34A7A024" w14:textId="77777777" w:rsidR="001F2076" w:rsidRDefault="007F3B32">
            <w:pPr>
              <w:spacing w:before="100" w:after="100"/>
              <w:ind w:left="100" w:right="100"/>
            </w:pPr>
            <w:r>
              <w:rPr>
                <w:rFonts w:ascii="Arial" w:eastAsia="Arial" w:hAnsi="Arial" w:cs="Arial"/>
                <w:b/>
                <w:color w:val="000000"/>
                <w:sz w:val="18"/>
                <w:szCs w:val="18"/>
              </w:rPr>
              <w:t>Test</w:t>
            </w:r>
          </w:p>
        </w:tc>
        <w:tc>
          <w:tcPr>
            <w:tcW w:w="2880" w:type="dxa"/>
            <w:shd w:val="clear" w:color="auto" w:fill="CFCFCF"/>
            <w:tcMar>
              <w:top w:w="0" w:type="dxa"/>
              <w:left w:w="0" w:type="dxa"/>
              <w:bottom w:w="0" w:type="dxa"/>
              <w:right w:w="0" w:type="dxa"/>
            </w:tcMar>
            <w:vAlign w:val="center"/>
          </w:tcPr>
          <w:p w14:paraId="1DB7648A" w14:textId="77777777" w:rsidR="001F2076" w:rsidRDefault="007F3B32">
            <w:pPr>
              <w:spacing w:before="100" w:after="100"/>
              <w:ind w:left="100" w:right="100"/>
            </w:pPr>
            <w:r>
              <w:rPr>
                <w:rFonts w:ascii="Arial" w:eastAsia="Arial" w:hAnsi="Arial" w:cs="Arial"/>
                <w:b/>
                <w:color w:val="000000"/>
                <w:sz w:val="18"/>
                <w:szCs w:val="18"/>
              </w:rPr>
              <w:t>Sensitivity</w:t>
            </w:r>
          </w:p>
        </w:tc>
        <w:tc>
          <w:tcPr>
            <w:tcW w:w="2880" w:type="dxa"/>
            <w:shd w:val="clear" w:color="auto" w:fill="CFCFCF"/>
            <w:tcMar>
              <w:top w:w="0" w:type="dxa"/>
              <w:left w:w="0" w:type="dxa"/>
              <w:bottom w:w="0" w:type="dxa"/>
              <w:right w:w="0" w:type="dxa"/>
            </w:tcMar>
            <w:vAlign w:val="center"/>
          </w:tcPr>
          <w:p w14:paraId="1F98C559" w14:textId="77777777" w:rsidR="001F2076" w:rsidRDefault="007F3B32">
            <w:pPr>
              <w:spacing w:before="100" w:after="100"/>
              <w:ind w:left="100" w:right="100"/>
            </w:pPr>
            <w:r>
              <w:rPr>
                <w:rFonts w:ascii="Arial" w:eastAsia="Arial" w:hAnsi="Arial" w:cs="Arial"/>
                <w:b/>
                <w:color w:val="000000"/>
                <w:sz w:val="18"/>
                <w:szCs w:val="18"/>
              </w:rPr>
              <w:t>Specificity</w:t>
            </w:r>
          </w:p>
        </w:tc>
      </w:tr>
      <w:tr w:rsidR="001F2076" w14:paraId="330588DB" w14:textId="77777777">
        <w:trPr>
          <w:cantSplit/>
          <w:jc w:val="center"/>
        </w:trPr>
        <w:tc>
          <w:tcPr>
            <w:tcW w:w="2880" w:type="dxa"/>
            <w:shd w:val="clear" w:color="auto" w:fill="EFEFEF"/>
            <w:tcMar>
              <w:top w:w="0" w:type="dxa"/>
              <w:left w:w="0" w:type="dxa"/>
              <w:bottom w:w="0" w:type="dxa"/>
              <w:right w:w="0" w:type="dxa"/>
            </w:tcMar>
            <w:vAlign w:val="center"/>
          </w:tcPr>
          <w:p w14:paraId="63F62D65" w14:textId="77777777" w:rsidR="001F2076" w:rsidRDefault="007F3B32">
            <w:pPr>
              <w:spacing w:before="100" w:after="100"/>
              <w:ind w:left="100" w:right="100"/>
            </w:pPr>
            <w:r>
              <w:rPr>
                <w:rFonts w:ascii="Arial" w:eastAsia="Arial" w:hAnsi="Arial" w:cs="Arial"/>
                <w:color w:val="000000"/>
                <w:sz w:val="18"/>
                <w:szCs w:val="18"/>
              </w:rPr>
              <w:t>ZN Smear</w:t>
            </w:r>
          </w:p>
        </w:tc>
        <w:tc>
          <w:tcPr>
            <w:tcW w:w="2880" w:type="dxa"/>
            <w:shd w:val="clear" w:color="auto" w:fill="EFEFEF"/>
            <w:tcMar>
              <w:top w:w="0" w:type="dxa"/>
              <w:left w:w="0" w:type="dxa"/>
              <w:bottom w:w="0" w:type="dxa"/>
              <w:right w:w="0" w:type="dxa"/>
            </w:tcMar>
            <w:vAlign w:val="center"/>
          </w:tcPr>
          <w:p w14:paraId="7638723A" w14:textId="77777777" w:rsidR="001F2076" w:rsidRDefault="007F3B32">
            <w:pPr>
              <w:spacing w:before="100" w:after="100"/>
              <w:ind w:left="100" w:right="100"/>
            </w:pPr>
            <w:r>
              <w:rPr>
                <w:rFonts w:ascii="Arial" w:eastAsia="Arial" w:hAnsi="Arial" w:cs="Arial"/>
                <w:color w:val="000000"/>
                <w:sz w:val="18"/>
                <w:szCs w:val="18"/>
              </w:rPr>
              <w:t>100%</w:t>
            </w:r>
          </w:p>
        </w:tc>
        <w:tc>
          <w:tcPr>
            <w:tcW w:w="2880" w:type="dxa"/>
            <w:shd w:val="clear" w:color="auto" w:fill="EFEFEF"/>
            <w:tcMar>
              <w:top w:w="0" w:type="dxa"/>
              <w:left w:w="0" w:type="dxa"/>
              <w:bottom w:w="0" w:type="dxa"/>
              <w:right w:w="0" w:type="dxa"/>
            </w:tcMar>
            <w:vAlign w:val="center"/>
          </w:tcPr>
          <w:p w14:paraId="6E83028B" w14:textId="77777777" w:rsidR="001F2076" w:rsidRDefault="007F3B32">
            <w:pPr>
              <w:spacing w:before="100" w:after="100"/>
              <w:ind w:left="100" w:right="100"/>
            </w:pPr>
            <w:r>
              <w:rPr>
                <w:rFonts w:ascii="Arial" w:eastAsia="Arial" w:hAnsi="Arial" w:cs="Arial"/>
                <w:color w:val="000000"/>
                <w:sz w:val="18"/>
                <w:szCs w:val="18"/>
              </w:rPr>
              <w:t>78.6% (71.9%, 84.3%)</w:t>
            </w:r>
          </w:p>
        </w:tc>
      </w:tr>
      <w:tr w:rsidR="001F2076" w14:paraId="7A728541" w14:textId="77777777">
        <w:trPr>
          <w:cantSplit/>
          <w:jc w:val="center"/>
        </w:trPr>
        <w:tc>
          <w:tcPr>
            <w:tcW w:w="2880" w:type="dxa"/>
            <w:shd w:val="clear" w:color="auto" w:fill="FFFFFF"/>
            <w:tcMar>
              <w:top w:w="0" w:type="dxa"/>
              <w:left w:w="0" w:type="dxa"/>
              <w:bottom w:w="0" w:type="dxa"/>
              <w:right w:w="0" w:type="dxa"/>
            </w:tcMar>
            <w:vAlign w:val="center"/>
          </w:tcPr>
          <w:p w14:paraId="766004DC" w14:textId="77777777" w:rsidR="001F2076" w:rsidRDefault="007F3B32">
            <w:pPr>
              <w:spacing w:before="100" w:after="100"/>
              <w:ind w:left="100" w:right="100"/>
            </w:pPr>
            <w:r>
              <w:rPr>
                <w:rFonts w:ascii="Arial" w:eastAsia="Arial" w:hAnsi="Arial" w:cs="Arial"/>
                <w:color w:val="000000"/>
                <w:sz w:val="18"/>
                <w:szCs w:val="18"/>
              </w:rPr>
              <w:t>MGIT</w:t>
            </w:r>
          </w:p>
        </w:tc>
        <w:tc>
          <w:tcPr>
            <w:tcW w:w="2880" w:type="dxa"/>
            <w:shd w:val="clear" w:color="auto" w:fill="FFFFFF"/>
            <w:tcMar>
              <w:top w:w="0" w:type="dxa"/>
              <w:left w:w="0" w:type="dxa"/>
              <w:bottom w:w="0" w:type="dxa"/>
              <w:right w:w="0" w:type="dxa"/>
            </w:tcMar>
            <w:vAlign w:val="center"/>
          </w:tcPr>
          <w:p w14:paraId="5CA75AD0" w14:textId="77777777" w:rsidR="001F2076" w:rsidRDefault="007F3B32">
            <w:pPr>
              <w:spacing w:before="100" w:after="100"/>
              <w:ind w:left="100" w:right="100"/>
            </w:pPr>
            <w:r>
              <w:rPr>
                <w:rFonts w:ascii="Arial" w:eastAsia="Arial" w:hAnsi="Arial" w:cs="Arial"/>
                <w:color w:val="000000"/>
                <w:sz w:val="18"/>
                <w:szCs w:val="18"/>
              </w:rPr>
              <w:t>100%</w:t>
            </w:r>
          </w:p>
        </w:tc>
        <w:tc>
          <w:tcPr>
            <w:tcW w:w="2880" w:type="dxa"/>
            <w:shd w:val="clear" w:color="auto" w:fill="FFFFFF"/>
            <w:tcMar>
              <w:top w:w="0" w:type="dxa"/>
              <w:left w:w="0" w:type="dxa"/>
              <w:bottom w:w="0" w:type="dxa"/>
              <w:right w:w="0" w:type="dxa"/>
            </w:tcMar>
            <w:vAlign w:val="center"/>
          </w:tcPr>
          <w:p w14:paraId="1B53D72C" w14:textId="77777777" w:rsidR="001F2076" w:rsidRDefault="007F3B32">
            <w:pPr>
              <w:spacing w:before="100" w:after="100"/>
              <w:ind w:left="100" w:right="100"/>
            </w:pPr>
            <w:r>
              <w:rPr>
                <w:rFonts w:ascii="Arial" w:eastAsia="Arial" w:hAnsi="Arial" w:cs="Arial"/>
                <w:color w:val="000000"/>
                <w:sz w:val="18"/>
                <w:szCs w:val="18"/>
              </w:rPr>
              <w:t>66.5% (59.1%, 73.3%)</w:t>
            </w:r>
          </w:p>
        </w:tc>
      </w:tr>
      <w:tr w:rsidR="001F2076" w14:paraId="4B339D95" w14:textId="77777777">
        <w:trPr>
          <w:cantSplit/>
          <w:jc w:val="center"/>
        </w:trPr>
        <w:tc>
          <w:tcPr>
            <w:tcW w:w="2880" w:type="dxa"/>
            <w:shd w:val="clear" w:color="auto" w:fill="EFEFEF"/>
            <w:tcMar>
              <w:top w:w="0" w:type="dxa"/>
              <w:left w:w="0" w:type="dxa"/>
              <w:bottom w:w="0" w:type="dxa"/>
              <w:right w:w="0" w:type="dxa"/>
            </w:tcMar>
            <w:vAlign w:val="center"/>
          </w:tcPr>
          <w:p w14:paraId="166EF964" w14:textId="77777777" w:rsidR="001F2076" w:rsidRDefault="007F3B32">
            <w:pPr>
              <w:spacing w:before="100" w:after="100"/>
              <w:ind w:left="100" w:right="100"/>
            </w:pPr>
            <w:proofErr w:type="spellStart"/>
            <w:r>
              <w:rPr>
                <w:rFonts w:ascii="Arial" w:eastAsia="Arial" w:hAnsi="Arial" w:cs="Arial"/>
                <w:color w:val="000000"/>
                <w:sz w:val="18"/>
                <w:szCs w:val="18"/>
              </w:rPr>
              <w:t>Xpert</w:t>
            </w:r>
            <w:proofErr w:type="spellEnd"/>
          </w:p>
        </w:tc>
        <w:tc>
          <w:tcPr>
            <w:tcW w:w="2880" w:type="dxa"/>
            <w:shd w:val="clear" w:color="auto" w:fill="EFEFEF"/>
            <w:tcMar>
              <w:top w:w="0" w:type="dxa"/>
              <w:left w:w="0" w:type="dxa"/>
              <w:bottom w:w="0" w:type="dxa"/>
              <w:right w:w="0" w:type="dxa"/>
            </w:tcMar>
            <w:vAlign w:val="center"/>
          </w:tcPr>
          <w:p w14:paraId="3A621EA9" w14:textId="77777777" w:rsidR="001F2076" w:rsidRDefault="007F3B32">
            <w:pPr>
              <w:spacing w:before="100" w:after="100"/>
              <w:ind w:left="100" w:right="100"/>
            </w:pPr>
            <w:r>
              <w:rPr>
                <w:rFonts w:ascii="Arial" w:eastAsia="Arial" w:hAnsi="Arial" w:cs="Arial"/>
                <w:color w:val="000000"/>
                <w:sz w:val="18"/>
                <w:szCs w:val="18"/>
              </w:rPr>
              <w:t>99.5% (97.2 -100%)</w:t>
            </w:r>
          </w:p>
        </w:tc>
        <w:tc>
          <w:tcPr>
            <w:tcW w:w="2880" w:type="dxa"/>
            <w:shd w:val="clear" w:color="auto" w:fill="EFEFEF"/>
            <w:tcMar>
              <w:top w:w="0" w:type="dxa"/>
              <w:left w:w="0" w:type="dxa"/>
              <w:bottom w:w="0" w:type="dxa"/>
              <w:right w:w="0" w:type="dxa"/>
            </w:tcMar>
            <w:vAlign w:val="center"/>
          </w:tcPr>
          <w:p w14:paraId="613F0F1C" w14:textId="77777777" w:rsidR="001F2076" w:rsidRDefault="007F3B32">
            <w:pPr>
              <w:spacing w:before="100" w:after="100"/>
              <w:ind w:left="100" w:right="100"/>
            </w:pPr>
            <w:r>
              <w:rPr>
                <w:rFonts w:ascii="Arial" w:eastAsia="Arial" w:hAnsi="Arial" w:cs="Arial"/>
                <w:color w:val="000000"/>
                <w:sz w:val="18"/>
                <w:szCs w:val="18"/>
              </w:rPr>
              <w:t>59.3% (51.8%, 66.5%)</w:t>
            </w:r>
          </w:p>
        </w:tc>
      </w:tr>
      <w:tr w:rsidR="001F2076" w14:paraId="787E409E" w14:textId="77777777">
        <w:trPr>
          <w:cantSplit/>
          <w:jc w:val="center"/>
        </w:trPr>
        <w:tc>
          <w:tcPr>
            <w:tcW w:w="8640" w:type="dxa"/>
            <w:gridSpan w:val="3"/>
            <w:shd w:val="clear" w:color="auto" w:fill="CFCFCF"/>
            <w:tcMar>
              <w:top w:w="0" w:type="dxa"/>
              <w:left w:w="0" w:type="dxa"/>
              <w:bottom w:w="0" w:type="dxa"/>
              <w:right w:w="0" w:type="dxa"/>
            </w:tcMar>
            <w:vAlign w:val="center"/>
          </w:tcPr>
          <w:p w14:paraId="16313300" w14:textId="77777777" w:rsidR="001F2076" w:rsidRDefault="007F3B32">
            <w:pPr>
              <w:spacing w:before="100" w:after="100"/>
              <w:ind w:left="100" w:right="100"/>
            </w:pPr>
            <w:r>
              <w:rPr>
                <w:rFonts w:ascii="Arial" w:eastAsia="Arial" w:hAnsi="Arial" w:cs="Arial"/>
                <w:b/>
                <w:color w:val="000000"/>
                <w:sz w:val="18"/>
                <w:szCs w:val="18"/>
              </w:rPr>
              <w:t>Numbers are in format of estimated (95% Confidence Interval)</w:t>
            </w:r>
          </w:p>
        </w:tc>
      </w:tr>
    </w:tbl>
    <w:p w14:paraId="1E81E164" w14:textId="77777777" w:rsidR="001F2076" w:rsidRDefault="007F3B32" w:rsidP="006676F1">
      <w:pPr>
        <w:pStyle w:val="Heading1"/>
      </w:pPr>
      <w:bookmarkStart w:id="4" w:name="methods"/>
      <w:bookmarkEnd w:id="0"/>
      <w:bookmarkEnd w:id="2"/>
      <w:r>
        <w:t>Methods</w:t>
      </w:r>
    </w:p>
    <w:p w14:paraId="77B073B2" w14:textId="77777777" w:rsidR="001F2076" w:rsidRDefault="007F3B32" w:rsidP="006676F1">
      <w:pPr>
        <w:pStyle w:val="Heading2"/>
      </w:pPr>
      <w:bookmarkStart w:id="5" w:name="population-to-analyse"/>
      <w:r>
        <w:t xml:space="preserve">Population to </w:t>
      </w:r>
      <w:proofErr w:type="spellStart"/>
      <w:r>
        <w:t>analyse</w:t>
      </w:r>
      <w:proofErr w:type="spellEnd"/>
    </w:p>
    <w:p w14:paraId="4753609C" w14:textId="77777777" w:rsidR="001F2076" w:rsidRDefault="007F3B32">
      <w:pPr>
        <w:pStyle w:val="FirstParagraph"/>
      </w:pPr>
      <w:r>
        <w:t xml:space="preserve">Data used for this analysis was extracted from an ongoing observational study conducted at the Hospital for Tropical Diseases (HTD) - Vietnam from the end of August 2017 to the end of January 2021. This is a large </w:t>
      </w:r>
      <w:proofErr w:type="spellStart"/>
      <w:r>
        <w:t>centre</w:t>
      </w:r>
      <w:proofErr w:type="spellEnd"/>
      <w:r>
        <w:t xml:space="preserve"> in southern Vietnam, provides secondary and tertiary treatment for a wide range of tropical infections (Thwaites et al. 2002). In the main study, enrolled population includes patients at least 16 years old with suspected neurological infection, admitted to Viet-Anh Ward, and underwent lumbar puncture at baseline as a routine diagnostic procedure. They were monitored and clinical data were prospectively collected during treatment time, until either discharge or death. Exclusion criteria include contra-indication of lumbar puncture and the invalidity of informed consent. A subset of the same data was </w:t>
      </w:r>
      <w:proofErr w:type="spellStart"/>
      <w:r>
        <w:t>randomised</w:t>
      </w:r>
      <w:proofErr w:type="spellEnd"/>
      <w:r>
        <w:t xml:space="preserve"> and </w:t>
      </w:r>
      <w:proofErr w:type="spellStart"/>
      <w:r>
        <w:t>analysed</w:t>
      </w:r>
      <w:proofErr w:type="spellEnd"/>
      <w:r>
        <w:t xml:space="preserve"> in a past study in which performance of </w:t>
      </w:r>
      <w:proofErr w:type="spellStart"/>
      <w:r>
        <w:t>Xpert</w:t>
      </w:r>
      <w:proofErr w:type="spellEnd"/>
      <w:r>
        <w:t xml:space="preserve"> MTB/RIF Ultra and </w:t>
      </w:r>
      <w:proofErr w:type="spellStart"/>
      <w:r>
        <w:t>Xpert</w:t>
      </w:r>
      <w:proofErr w:type="spellEnd"/>
      <w:r>
        <w:t xml:space="preserve"> MTB/RIF was compared (Donovan et al. 2020).</w:t>
      </w:r>
    </w:p>
    <w:p w14:paraId="64AE1EB4" w14:textId="77777777" w:rsidR="001F2076" w:rsidRDefault="007F3B32">
      <w:pPr>
        <w:pStyle w:val="Heading2"/>
      </w:pPr>
      <w:bookmarkStart w:id="6" w:name="test-procedures-and-data-collection"/>
      <w:bookmarkEnd w:id="5"/>
      <w:r>
        <w:t>Test procedures and data collection</w:t>
      </w:r>
    </w:p>
    <w:p w14:paraId="06DCDE06" w14:textId="77777777" w:rsidR="001F2076" w:rsidRDefault="007F3B32">
      <w:pPr>
        <w:pStyle w:val="FirstParagraph"/>
      </w:pPr>
      <w:r>
        <w:t xml:space="preserve">At baseline, after informed consents were provided, demographic and history information were curated. Patients also underwent clinical examination and laboratorial investigations according to main study protocol, </w:t>
      </w:r>
      <w:proofErr w:type="gramStart"/>
      <w:r>
        <w:t>including:</w:t>
      </w:r>
      <w:proofErr w:type="gramEnd"/>
      <w:r>
        <w:t xml:space="preserve"> blood test, sputum, and lumbar puncture, unless contra-indicated. HIV-related information was asked and optionally tested unless the patients were to </w:t>
      </w:r>
      <w:proofErr w:type="spellStart"/>
      <w:r>
        <w:t>enrol</w:t>
      </w:r>
      <w:proofErr w:type="spellEnd"/>
      <w:r>
        <w:t xml:space="preserve"> in a </w:t>
      </w:r>
      <w:r>
        <w:lastRenderedPageBreak/>
        <w:t xml:space="preserve">subsequent Tuberculous meningitis </w:t>
      </w:r>
      <w:proofErr w:type="spellStart"/>
      <w:r>
        <w:t>randomised</w:t>
      </w:r>
      <w:proofErr w:type="spellEnd"/>
      <w:r>
        <w:t xml:space="preserve"> controlled trial also conducted at HTD. Patients with either </w:t>
      </w:r>
      <w:proofErr w:type="gramStart"/>
      <w:r>
        <w:t>an</w:t>
      </w:r>
      <w:proofErr w:type="gramEnd"/>
      <w:r>
        <w:t xml:space="preserve"> known HIV infection or a positive subsequent HIV test would be considered </w:t>
      </w:r>
      <w:r>
        <w:rPr>
          <w:b/>
          <w:bCs/>
        </w:rPr>
        <w:t>HIV positive</w:t>
      </w:r>
      <w:r>
        <w:t>.</w:t>
      </w:r>
    </w:p>
    <w:p w14:paraId="623E3E9B" w14:textId="77777777" w:rsidR="001F2076" w:rsidRDefault="007F3B32">
      <w:pPr>
        <w:pStyle w:val="BodyText"/>
      </w:pPr>
      <w:r>
        <w:t xml:space="preserve">During lumbar puncture, at least 3mL (ideally 6mL) of cerebrospinal fluid (CSF) were taken; if lower amount was collected, the tests would still be done, with collected volume noted. Tests might include standard </w:t>
      </w:r>
      <w:proofErr w:type="spellStart"/>
      <w:r>
        <w:t>haematological</w:t>
      </w:r>
      <w:proofErr w:type="spellEnd"/>
      <w:r>
        <w:t xml:space="preserve"> and biochemical </w:t>
      </w:r>
      <w:proofErr w:type="gramStart"/>
      <w:r>
        <w:t>bio-markers</w:t>
      </w:r>
      <w:proofErr w:type="gramEnd"/>
      <w:r>
        <w:t>, confirmation markers for differential diagnoses, gene expression and profiling, if applicable.</w:t>
      </w:r>
    </w:p>
    <w:p w14:paraId="08F4A384" w14:textId="77777777" w:rsidR="001F2076" w:rsidRDefault="007F3B32">
      <w:pPr>
        <w:pStyle w:val="BodyText"/>
      </w:pPr>
      <w:r>
        <w:t xml:space="preserve">TBM confirmation tests used in this analysis are </w:t>
      </w:r>
      <w:proofErr w:type="spellStart"/>
      <w:r>
        <w:rPr>
          <w:b/>
          <w:bCs/>
        </w:rPr>
        <w:t>Ziehl</w:t>
      </w:r>
      <w:proofErr w:type="spellEnd"/>
      <w:r>
        <w:rPr>
          <w:b/>
          <w:bCs/>
        </w:rPr>
        <w:t>–</w:t>
      </w:r>
      <w:proofErr w:type="spellStart"/>
      <w:r>
        <w:rPr>
          <w:b/>
          <w:bCs/>
        </w:rPr>
        <w:t>Neelsen</w:t>
      </w:r>
      <w:proofErr w:type="spellEnd"/>
      <w:r>
        <w:rPr>
          <w:b/>
          <w:bCs/>
        </w:rPr>
        <w:t xml:space="preserve"> stained smear (ZN Smear), Culturing in Mycobacteria Growth Indicator Tube</w:t>
      </w:r>
      <w:r>
        <w:t xml:space="preserve"> (</w:t>
      </w:r>
      <w:r>
        <w:rPr>
          <w:b/>
          <w:bCs/>
        </w:rPr>
        <w:t>MGIT</w:t>
      </w:r>
      <w:r>
        <w:t>)</w:t>
      </w:r>
      <w:r>
        <w:rPr>
          <w:b/>
          <w:bCs/>
        </w:rPr>
        <w:t>,</w:t>
      </w:r>
      <w:r>
        <w:t xml:space="preserve"> and </w:t>
      </w:r>
      <w:r>
        <w:rPr>
          <w:b/>
          <w:bCs/>
        </w:rPr>
        <w:t>GeneXpert MTB/RIF</w:t>
      </w:r>
      <w:r>
        <w:t xml:space="preserve"> or </w:t>
      </w:r>
      <w:proofErr w:type="spellStart"/>
      <w:r>
        <w:rPr>
          <w:b/>
          <w:bCs/>
        </w:rPr>
        <w:t>Xpert</w:t>
      </w:r>
      <w:proofErr w:type="spellEnd"/>
      <w:r>
        <w:rPr>
          <w:b/>
          <w:bCs/>
        </w:rPr>
        <w:t xml:space="preserve"> Ultra MTB/RIF (</w:t>
      </w:r>
      <w:proofErr w:type="spellStart"/>
      <w:r>
        <w:rPr>
          <w:b/>
          <w:bCs/>
        </w:rPr>
        <w:t>Xpert</w:t>
      </w:r>
      <w:proofErr w:type="spellEnd"/>
      <w:r>
        <w:rPr>
          <w:b/>
          <w:bCs/>
        </w:rPr>
        <w:t>)</w:t>
      </w:r>
      <w:r>
        <w:t xml:space="preserve">; as the last two tests’ performances are comparable (Donovan et al. 2020), we considered them to be the same. The confirmation tests were done if TBM were suspected clinically, either by the TBM definition scoring system (Marais et al. 2010) or by clinicians’ judgment and no other diagnosis was confirmed. </w:t>
      </w:r>
      <w:proofErr w:type="gramStart"/>
      <w:r>
        <w:t>In order to</w:t>
      </w:r>
      <w:proofErr w:type="gramEnd"/>
      <w:r>
        <w:t xml:space="preserve"> perform these tests, CSF samples were centrifuged at 3000g for 15 minutes (Donovan et al. 2020). </w:t>
      </w:r>
    </w:p>
    <w:p w14:paraId="2C31C550" w14:textId="77777777" w:rsidR="001F2076" w:rsidRDefault="007F3B32">
      <w:pPr>
        <w:pStyle w:val="BodyText"/>
      </w:pPr>
      <w:r>
        <w:t xml:space="preserve">All patients underwent appropriate treatment regimen according to national and local guidelines, depending on the diagnosis, without any interference ignited by the study. During the treatment, patients might continue to have additional standard-of-care lumbar puncture for diagnosis or follow-up. At the time of discharge or death, all patients received a final diagnosis. If at least one ZN Smear, MGIT, or </w:t>
      </w:r>
      <w:proofErr w:type="spellStart"/>
      <w:r>
        <w:t>Xpert</w:t>
      </w:r>
      <w:proofErr w:type="spellEnd"/>
      <w:r>
        <w:t xml:space="preserve">, was positive at anything time during the follow-up, the patient would be considered </w:t>
      </w:r>
      <w:r>
        <w:rPr>
          <w:b/>
          <w:bCs/>
        </w:rPr>
        <w:t>confirmed TBM</w:t>
      </w:r>
      <w:r>
        <w:t xml:space="preserve">; otherwise, </w:t>
      </w:r>
      <w:r>
        <w:rPr>
          <w:b/>
          <w:bCs/>
        </w:rPr>
        <w:t>suspected TBM</w:t>
      </w:r>
      <w:r>
        <w:t xml:space="preserve">, unless the patient recovered without anti-tuberculosis chemotherapy - where they could be reassigned to </w:t>
      </w:r>
      <w:r>
        <w:rPr>
          <w:b/>
          <w:bCs/>
        </w:rPr>
        <w:t>not TBM</w:t>
      </w:r>
      <w:r>
        <w:t>.</w:t>
      </w:r>
    </w:p>
    <w:p w14:paraId="0C6B570C" w14:textId="77777777" w:rsidR="001F2076" w:rsidRDefault="007F3B32">
      <w:pPr>
        <w:pStyle w:val="BodyText"/>
      </w:pPr>
      <w:r>
        <w:t xml:space="preserve">Although tests could be done several times as mentioned, in this analysis, </w:t>
      </w:r>
      <w:proofErr w:type="gramStart"/>
      <w:r>
        <w:t>in order to</w:t>
      </w:r>
      <w:proofErr w:type="gramEnd"/>
      <w:r>
        <w:t xml:space="preserve"> robustly evaluate the sensitivities of confirmation tests, only the first samples at baseline were curated. Results of </w:t>
      </w:r>
      <w:proofErr w:type="spellStart"/>
      <w:r>
        <w:t>haematological</w:t>
      </w:r>
      <w:proofErr w:type="spellEnd"/>
      <w:r>
        <w:t xml:space="preserve">, biochemical, ZN Smear, MGIT, and </w:t>
      </w:r>
      <w:proofErr w:type="spellStart"/>
      <w:r>
        <w:t>Xpert</w:t>
      </w:r>
      <w:proofErr w:type="spellEnd"/>
      <w:r>
        <w:t xml:space="preserve">, all must have come from one first CSF sample, together with which a quick blood glucose should also be taken, as listed in table </w:t>
      </w:r>
      <w:hyperlink w:anchor="test-bl-tbl">
        <w:r>
          <w:fldChar w:fldCharType="begin"/>
        </w:r>
        <w:r>
          <w:instrText xml:space="preserve"> REF test-bl-tbl \h</w:instrText>
        </w:r>
        <w:r>
          <w:fldChar w:fldCharType="end"/>
        </w:r>
      </w:hyperlink>
      <w:r>
        <w:t xml:space="preserve">. In general, the choice of predictors </w:t>
      </w:r>
      <w:proofErr w:type="gramStart"/>
      <w:r>
        <w:t>are</w:t>
      </w:r>
      <w:proofErr w:type="gramEnd"/>
      <w:r>
        <w:t xml:space="preserve"> based on the TBM definition scoring system (Marais et al. 2010). CSF </w:t>
      </w:r>
      <w:proofErr w:type="spellStart"/>
      <w:r>
        <w:t>Oeosinophil</w:t>
      </w:r>
      <w:proofErr w:type="spellEnd"/>
      <w:r>
        <w:t xml:space="preserve"> count was additionally included as it is a strong </w:t>
      </w:r>
      <w:proofErr w:type="gramStart"/>
      <w:r>
        <w:t>bio-marker</w:t>
      </w:r>
      <w:proofErr w:type="gramEnd"/>
      <w:r>
        <w:t xml:space="preserve"> for </w:t>
      </w:r>
      <w:proofErr w:type="spellStart"/>
      <w:r>
        <w:t>oeosinophilic</w:t>
      </w:r>
      <w:proofErr w:type="spellEnd"/>
      <w:r>
        <w:t xml:space="preserve"> meningitis, a condition usually caused by the parasites; while CSF erythrocyte count was added as a marker for a traumatic procedure. We also made an adjustment for Past TB contact, in which we </w:t>
      </w:r>
      <w:proofErr w:type="spellStart"/>
      <w:r>
        <w:t>hypothesise</w:t>
      </w:r>
      <w:proofErr w:type="spellEnd"/>
      <w:r>
        <w:t xml:space="preserve"> that by changing the question into “Past </w:t>
      </w:r>
      <w:r>
        <w:rPr>
          <w:i/>
          <w:iCs/>
        </w:rPr>
        <w:t>noticeable</w:t>
      </w:r>
      <w:r>
        <w:t xml:space="preserve"> contact with TB patients within the past recent year,” we would be able to imply all “Unknown” answer as a “No.” In the main study, no brain imaging was taken, hence not included.</w:t>
      </w:r>
    </w:p>
    <w:p w14:paraId="0CF717B1" w14:textId="77777777" w:rsidR="001F2076" w:rsidRDefault="007F3B32">
      <w:pPr>
        <w:pStyle w:val="Heading2"/>
      </w:pPr>
      <w:bookmarkStart w:id="7" w:name="statistical-model"/>
      <w:bookmarkEnd w:id="6"/>
      <w:r>
        <w:t>Statistical Model</w:t>
      </w:r>
    </w:p>
    <w:p w14:paraId="7E549AD8" w14:textId="77777777" w:rsidR="001F2076" w:rsidRDefault="007F3B32">
      <w:pPr>
        <w:pStyle w:val="FirstParagraph"/>
      </w:pPr>
      <w:r>
        <w:t xml:space="preserve">All data preparation, cleaning, and processing were performed on statistical </w:t>
      </w:r>
      <w:proofErr w:type="gramStart"/>
      <w:r>
        <w:t>package ,</w:t>
      </w:r>
      <w:proofErr w:type="gramEnd"/>
      <w:r>
        <w:t xml:space="preserve"> version 4.1.0 (R Core Team 2021). The model was developed on the probabilistic </w:t>
      </w:r>
      <w:proofErr w:type="gramStart"/>
      <w:r>
        <w:t>language  via</w:t>
      </w:r>
      <w:proofErr w:type="gramEnd"/>
      <w:r>
        <w:t xml:space="preserve"> the interface  , version 2.27 (Stan Development Team 2021a). Plotting was done using </w:t>
      </w:r>
      <w:proofErr w:type="gramStart"/>
      <w:r>
        <w:t>package  (</w:t>
      </w:r>
      <w:proofErr w:type="spellStart"/>
      <w:proofErr w:type="gramEnd"/>
      <w:r>
        <w:t>Gabry</w:t>
      </w:r>
      <w:proofErr w:type="spellEnd"/>
      <w:r>
        <w:t xml:space="preserve"> et al. 2019),  (</w:t>
      </w:r>
      <w:proofErr w:type="spellStart"/>
      <w:r>
        <w:t>Defazio</w:t>
      </w:r>
      <w:proofErr w:type="spellEnd"/>
      <w:r>
        <w:t xml:space="preserve"> and Campbell 2020), and  (Yan 2021). Some other packages used include</w:t>
      </w:r>
      <w:proofErr w:type="gramStart"/>
      <w:r>
        <w:t>:  (</w:t>
      </w:r>
      <w:proofErr w:type="gramEnd"/>
      <w:r>
        <w:t>Chang 2020),  (Harrell Jr 2021).</w:t>
      </w:r>
    </w:p>
    <w:p w14:paraId="0EC53D7E" w14:textId="77777777" w:rsidR="001F2076" w:rsidRDefault="007F3B32">
      <w:pPr>
        <w:pStyle w:val="BodyText"/>
      </w:pPr>
      <w:r>
        <w:t xml:space="preserve">In the model, three </w:t>
      </w:r>
      <w:proofErr w:type="gramStart"/>
      <w:r>
        <w:t>aforementioned TBM</w:t>
      </w:r>
      <w:proofErr w:type="gramEnd"/>
      <w:r>
        <w:t xml:space="preserve"> confirmation tests (ZN Smear, MGIT, and </w:t>
      </w:r>
      <w:proofErr w:type="spellStart"/>
      <w:r>
        <w:t>Xpert</w:t>
      </w:r>
      <w:proofErr w:type="spellEnd"/>
      <w:r>
        <w:t xml:space="preserve">) were used as manifest variables. Linear predictors for the latent class prevalence were </w:t>
      </w:r>
      <w:r>
        <w:rPr>
          <w:b/>
          <w:bCs/>
        </w:rPr>
        <w:t>history and demographic information</w:t>
      </w:r>
      <w:r>
        <w:t xml:space="preserve"> (HIV status, Age, Past noticeable TB contact), </w:t>
      </w:r>
      <w:r>
        <w:rPr>
          <w:b/>
          <w:bCs/>
        </w:rPr>
        <w:t>clinical signs and symptoms</w:t>
      </w:r>
      <w:r>
        <w:t xml:space="preserve"> (Days from onset to admission, Systemic symptoms suggestive of tuberculosis, Focal neurological deficit, Cranial nerve palsy, Glasgow Coma Score - GCS), </w:t>
      </w:r>
      <w:r>
        <w:rPr>
          <w:b/>
          <w:bCs/>
        </w:rPr>
        <w:t>Imaging chest data</w:t>
      </w:r>
      <w:r>
        <w:t xml:space="preserve"> (Pulmonary TB, </w:t>
      </w:r>
      <w:proofErr w:type="spellStart"/>
      <w:r>
        <w:t>Miliary</w:t>
      </w:r>
      <w:proofErr w:type="spellEnd"/>
      <w:r>
        <w:t xml:space="preserve"> TB), </w:t>
      </w:r>
      <w:r>
        <w:rPr>
          <w:b/>
          <w:bCs/>
        </w:rPr>
        <w:t>CSF criteria (</w:t>
      </w:r>
      <w:r>
        <w:t xml:space="preserve">lymphocyte count, neutrophil count, </w:t>
      </w:r>
      <w:proofErr w:type="spellStart"/>
      <w:r>
        <w:t>oeosinophil</w:t>
      </w:r>
      <w:proofErr w:type="spellEnd"/>
      <w:r>
        <w:t xml:space="preserve"> count, </w:t>
      </w:r>
      <w:r>
        <w:lastRenderedPageBreak/>
        <w:t xml:space="preserve">erythrocyte count, glucose - with corresponding blood glucose, protein, lactate), and </w:t>
      </w:r>
      <w:r>
        <w:rPr>
          <w:b/>
          <w:bCs/>
        </w:rPr>
        <w:t>Cryptococcus Antigen/Indian Ink</w:t>
      </w:r>
      <w:r>
        <w:t xml:space="preserve"> in combination</w:t>
      </w:r>
      <w:r>
        <w:rPr>
          <w:b/>
          <w:bCs/>
        </w:rPr>
        <w:t>.</w:t>
      </w:r>
    </w:p>
    <w:p w14:paraId="3FD4C957" w14:textId="77777777" w:rsidR="001F2076" w:rsidRDefault="007F3B32">
      <w:pPr>
        <w:pStyle w:val="Heading3"/>
      </w:pPr>
      <w:bookmarkStart w:id="8" w:name="data-pre-processing"/>
      <w:r>
        <w:t>Data pre-processing</w:t>
      </w:r>
    </w:p>
    <w:p w14:paraId="613CDBC8" w14:textId="77777777" w:rsidR="001F2076" w:rsidRDefault="007F3B32">
      <w:pPr>
        <w:pStyle w:val="FirstParagraph"/>
      </w:pPr>
      <w:r>
        <w:t xml:space="preserve">Most continuous variables were transformed to logarithmic scale and subsequently </w:t>
      </w:r>
      <w:proofErr w:type="spellStart"/>
      <w:r>
        <w:t>centred</w:t>
      </w:r>
      <w:proofErr w:type="spellEnd"/>
      <w:r>
        <w:t>. In all base models, no scaling was performed as they could potentially imputed</w:t>
      </w:r>
      <w:proofErr w:type="gramStart"/>
      <w:r>
        <w:t>. .</w:t>
      </w:r>
      <w:proofErr w:type="gramEnd"/>
      <w:r>
        <w:t xml:space="preserve"> Glasgow Coma Score and its components were not transformed, rather we translated them to </w:t>
      </w:r>
      <w:r>
        <w:rPr>
          <w:b/>
          <w:bCs/>
        </w:rPr>
        <w:t>Loss of GCS</w:t>
      </w:r>
      <w:r>
        <w:t xml:space="preserve"> (</w:t>
      </w:r>
      <w:proofErr w:type="spellStart"/>
      <w:r>
        <w:t>LoGCS</w:t>
      </w:r>
      <w:proofErr w:type="spellEnd"/>
      <w:r>
        <w:t xml:space="preserve">); so that a </w:t>
      </w:r>
      <m:oMath>
        <m:r>
          <w:rPr>
            <w:rFonts w:ascii="Cambria Math" w:hAnsi="Cambria Math"/>
          </w:rPr>
          <m:t>GCS</m:t>
        </m:r>
        <m:r>
          <m:rPr>
            <m:sty m:val="p"/>
          </m:rPr>
          <w:rPr>
            <w:rFonts w:ascii="Cambria Math" w:hAnsi="Cambria Math"/>
          </w:rPr>
          <m:t>=</m:t>
        </m:r>
        <m:r>
          <w:rPr>
            <w:rFonts w:ascii="Cambria Math" w:hAnsi="Cambria Math"/>
          </w:rPr>
          <m:t>15</m:t>
        </m:r>
      </m:oMath>
      <w:r>
        <w:t xml:space="preserve"> would be equivalent to </w:t>
      </w:r>
      <m:oMath>
        <m:r>
          <w:rPr>
            <w:rFonts w:ascii="Cambria Math" w:hAnsi="Cambria Math"/>
          </w:rPr>
          <m:t>LoGCS</m:t>
        </m:r>
        <m:r>
          <m:rPr>
            <m:sty m:val="p"/>
          </m:rPr>
          <w:rPr>
            <w:rFonts w:ascii="Cambria Math" w:hAnsi="Cambria Math"/>
          </w:rPr>
          <m:t>=</m:t>
        </m:r>
        <m:r>
          <w:rPr>
            <w:rFonts w:ascii="Cambria Math" w:hAnsi="Cambria Math"/>
          </w:rPr>
          <m:t>0</m:t>
        </m:r>
      </m:oMath>
      <w:r>
        <w:t xml:space="preserve">, while </w:t>
      </w:r>
      <m:oMath>
        <m:r>
          <w:rPr>
            <w:rFonts w:ascii="Cambria Math" w:hAnsi="Cambria Math"/>
          </w:rPr>
          <m:t>GCS</m:t>
        </m:r>
        <m:r>
          <m:rPr>
            <m:sty m:val="p"/>
          </m:rPr>
          <w:rPr>
            <w:rFonts w:ascii="Cambria Math" w:hAnsi="Cambria Math"/>
          </w:rPr>
          <m:t>=</m:t>
        </m:r>
        <m:r>
          <w:rPr>
            <w:rFonts w:ascii="Cambria Math" w:hAnsi="Cambria Math"/>
          </w:rPr>
          <m:t>3</m:t>
        </m:r>
      </m:oMath>
      <w:r>
        <w:t xml:space="preserve"> would be translated to </w:t>
      </w:r>
      <m:oMath>
        <m:r>
          <w:rPr>
            <w:rFonts w:ascii="Cambria Math" w:hAnsi="Cambria Math"/>
          </w:rPr>
          <m:t>LoGCS</m:t>
        </m:r>
        <m:r>
          <m:rPr>
            <m:sty m:val="p"/>
          </m:rPr>
          <w:rPr>
            <w:rFonts w:ascii="Cambria Math" w:hAnsi="Cambria Math"/>
          </w:rPr>
          <m:t>=</m:t>
        </m:r>
        <m:r>
          <w:rPr>
            <w:rFonts w:ascii="Cambria Math" w:hAnsi="Cambria Math"/>
          </w:rPr>
          <m:t>12</m:t>
        </m:r>
      </m:oMath>
      <w:r>
        <w:t xml:space="preserve">. </w:t>
      </w:r>
    </w:p>
    <w:p w14:paraId="76C864F0" w14:textId="77777777" w:rsidR="001F2076" w:rsidRDefault="007F3B32">
      <w:pPr>
        <w:pStyle w:val="BodyText"/>
      </w:pPr>
      <w:r>
        <w:t xml:space="preserve">Binary variables were encoded into 0 and 1 and not </w:t>
      </w:r>
      <w:proofErr w:type="spellStart"/>
      <w:r>
        <w:t>centred</w:t>
      </w:r>
      <w:proofErr w:type="spellEnd"/>
      <w:r>
        <w:t>.</w:t>
      </w:r>
    </w:p>
    <w:p w14:paraId="00D550DD" w14:textId="77777777" w:rsidR="001F2076" w:rsidRDefault="007F3B32">
      <w:pPr>
        <w:pStyle w:val="Heading3"/>
      </w:pPr>
      <w:bookmarkStart w:id="9" w:name="latent-class-regression-model"/>
      <w:bookmarkEnd w:id="8"/>
      <w:r>
        <w:t>Latent class regression model</w:t>
      </w:r>
    </w:p>
    <w:p w14:paraId="128BE390" w14:textId="77777777" w:rsidR="001F2076" w:rsidRDefault="007F3B32">
      <w:pPr>
        <w:pStyle w:val="FirstParagraph"/>
      </w:pPr>
      <w:r>
        <w:t>We created two-level hierarchical models each of which combines:</w:t>
      </w:r>
    </w:p>
    <w:p w14:paraId="1BA5C469" w14:textId="77777777" w:rsidR="001F2076" w:rsidRDefault="007F3B32" w:rsidP="00297C2B">
      <w:pPr>
        <w:numPr>
          <w:ilvl w:val="0"/>
          <w:numId w:val="7"/>
        </w:numPr>
      </w:pPr>
      <w:r>
        <w:rPr>
          <w:b/>
          <w:bCs/>
        </w:rPr>
        <w:t>Prevalence model</w:t>
      </w:r>
      <w:r>
        <w:t>: A logistic regression model trying to estimate the prevalence of TBM amongst the study population</w:t>
      </w:r>
    </w:p>
    <w:p w14:paraId="416CBEDB" w14:textId="77777777" w:rsidR="001F2076" w:rsidRDefault="007F3B32" w:rsidP="00297C2B">
      <w:pPr>
        <w:numPr>
          <w:ilvl w:val="0"/>
          <w:numId w:val="7"/>
        </w:numPr>
      </w:pPr>
      <w:r>
        <w:rPr>
          <w:b/>
          <w:bCs/>
        </w:rPr>
        <w:t>Latent class analysis</w:t>
      </w:r>
      <w:r>
        <w:t xml:space="preserve">: estimating the probabilities of having positive results from three tests in each class. </w:t>
      </w:r>
      <w:proofErr w:type="gramStart"/>
      <w:r>
        <w:t>Similar to</w:t>
      </w:r>
      <w:proofErr w:type="gramEnd"/>
      <w:r>
        <w:t xml:space="preserve"> previous applications (Qu, Tan, and Kutner 1996; </w:t>
      </w:r>
      <w:proofErr w:type="spellStart"/>
      <w:r>
        <w:t>Hadgu</w:t>
      </w:r>
      <w:proofErr w:type="spellEnd"/>
      <w:r>
        <w:t xml:space="preserve"> and Qu 2002; Schumacher et al. 2016), we also corrected for individual bacillary burden and procedural variance between samples. Latent bacillary burden is regressed by individual Gaussian random variables which captures noisy fluctuation of test results, and fixed effects coming from covariates. We </w:t>
      </w:r>
      <w:proofErr w:type="spellStart"/>
      <w:r>
        <w:t>hypothesise</w:t>
      </w:r>
      <w:proofErr w:type="spellEnd"/>
      <w:r>
        <w:t xml:space="preserve"> that even if two patients were in the same TBM positive class, one who had lower bacillary burden would be less likely to be tested positive. This lifted the local independence assumptions of vanilla Latent Class </w:t>
      </w:r>
      <w:proofErr w:type="gramStart"/>
      <w:r>
        <w:t>Analysis .</w:t>
      </w:r>
      <w:proofErr w:type="gramEnd"/>
    </w:p>
    <w:p w14:paraId="03E2BD6D" w14:textId="77777777" w:rsidR="001F2076" w:rsidRDefault="007F3B32">
      <w:pPr>
        <w:pStyle w:val="TableCaption"/>
      </w:pPr>
      <w:r>
        <w:t xml:space="preserve">Table </w:t>
      </w:r>
      <w:bookmarkStart w:id="10" w:name="predictor-tab"/>
      <w:r>
        <w:fldChar w:fldCharType="begin"/>
      </w:r>
      <w:r>
        <w:instrText>SEQ tab \* Arabic</w:instrText>
      </w:r>
      <w:r>
        <w:fldChar w:fldCharType="end"/>
      </w:r>
      <w:bookmarkEnd w:id="10"/>
      <w:r>
        <w:t>: Contribution of different variables in each model</w:t>
      </w:r>
    </w:p>
    <w:tbl>
      <w:tblPr>
        <w:tblW w:w="0" w:type="auto"/>
        <w:jc w:val="center"/>
        <w:tblLayout w:type="fixed"/>
        <w:tblLook w:val="0420" w:firstRow="1" w:lastRow="0" w:firstColumn="0" w:lastColumn="0" w:noHBand="0" w:noVBand="1"/>
      </w:tblPr>
      <w:tblGrid>
        <w:gridCol w:w="2880"/>
        <w:gridCol w:w="1728"/>
        <w:gridCol w:w="1728"/>
      </w:tblGrid>
      <w:tr w:rsidR="001F2076" w14:paraId="57B80B98" w14:textId="77777777">
        <w:trPr>
          <w:cantSplit/>
          <w:tblHeader/>
          <w:jc w:val="center"/>
        </w:trPr>
        <w:tc>
          <w:tcPr>
            <w:tcW w:w="2880" w:type="dxa"/>
            <w:shd w:val="clear" w:color="auto" w:fill="CFCFCF"/>
            <w:tcMar>
              <w:top w:w="0" w:type="dxa"/>
              <w:left w:w="0" w:type="dxa"/>
              <w:bottom w:w="0" w:type="dxa"/>
              <w:right w:w="0" w:type="dxa"/>
            </w:tcMar>
            <w:vAlign w:val="center"/>
          </w:tcPr>
          <w:p w14:paraId="2C89C2EF" w14:textId="77777777" w:rsidR="001F2076" w:rsidRDefault="007F3B32">
            <w:pPr>
              <w:spacing w:before="100" w:after="100"/>
              <w:ind w:left="100" w:right="100"/>
            </w:pPr>
            <w:r>
              <w:rPr>
                <w:rFonts w:ascii="Arial" w:eastAsia="Arial" w:hAnsi="Arial" w:cs="Arial"/>
                <w:b/>
                <w:color w:val="000000"/>
                <w:sz w:val="18"/>
                <w:szCs w:val="18"/>
              </w:rPr>
              <w:t>Predictor</w:t>
            </w:r>
          </w:p>
        </w:tc>
        <w:tc>
          <w:tcPr>
            <w:tcW w:w="1728" w:type="dxa"/>
            <w:shd w:val="clear" w:color="auto" w:fill="CFCFCF"/>
            <w:tcMar>
              <w:top w:w="0" w:type="dxa"/>
              <w:left w:w="0" w:type="dxa"/>
              <w:bottom w:w="0" w:type="dxa"/>
              <w:right w:w="0" w:type="dxa"/>
            </w:tcMar>
            <w:vAlign w:val="center"/>
          </w:tcPr>
          <w:p w14:paraId="3C08177A" w14:textId="77777777" w:rsidR="001F2076" w:rsidRDefault="007F3B32">
            <w:pPr>
              <w:spacing w:before="100" w:after="100"/>
              <w:ind w:left="100" w:right="100"/>
            </w:pPr>
            <w:r>
              <w:rPr>
                <w:rFonts w:ascii="Arial" w:eastAsia="Arial" w:hAnsi="Arial" w:cs="Arial"/>
                <w:b/>
                <w:color w:val="000000"/>
                <w:sz w:val="18"/>
                <w:szCs w:val="18"/>
              </w:rPr>
              <w:t>Risk of TBM</w:t>
            </w:r>
          </w:p>
        </w:tc>
        <w:tc>
          <w:tcPr>
            <w:tcW w:w="1728" w:type="dxa"/>
            <w:shd w:val="clear" w:color="auto" w:fill="CFCFCF"/>
            <w:tcMar>
              <w:top w:w="0" w:type="dxa"/>
              <w:left w:w="0" w:type="dxa"/>
              <w:bottom w:w="0" w:type="dxa"/>
              <w:right w:w="0" w:type="dxa"/>
            </w:tcMar>
            <w:vAlign w:val="center"/>
          </w:tcPr>
          <w:p w14:paraId="1D797632" w14:textId="77777777" w:rsidR="001F2076" w:rsidRDefault="007F3B32">
            <w:pPr>
              <w:spacing w:before="100" w:after="100"/>
              <w:ind w:left="100" w:right="100"/>
            </w:pPr>
            <w:r>
              <w:rPr>
                <w:rFonts w:ascii="Arial" w:eastAsia="Arial" w:hAnsi="Arial" w:cs="Arial"/>
                <w:b/>
                <w:color w:val="000000"/>
                <w:sz w:val="18"/>
                <w:szCs w:val="18"/>
              </w:rPr>
              <w:t>Bacillary Burden</w:t>
            </w:r>
          </w:p>
        </w:tc>
      </w:tr>
      <w:tr w:rsidR="001F2076" w14:paraId="0C76A1AB" w14:textId="77777777">
        <w:trPr>
          <w:cantSplit/>
          <w:jc w:val="center"/>
        </w:trPr>
        <w:tc>
          <w:tcPr>
            <w:tcW w:w="2880" w:type="dxa"/>
            <w:shd w:val="clear" w:color="auto" w:fill="EFEFEF"/>
            <w:tcMar>
              <w:top w:w="0" w:type="dxa"/>
              <w:left w:w="0" w:type="dxa"/>
              <w:bottom w:w="0" w:type="dxa"/>
              <w:right w:w="0" w:type="dxa"/>
            </w:tcMar>
            <w:vAlign w:val="center"/>
          </w:tcPr>
          <w:p w14:paraId="4AA19F3C" w14:textId="77777777" w:rsidR="001F2076" w:rsidRDefault="007F3B32">
            <w:pPr>
              <w:spacing w:before="100" w:after="100"/>
              <w:ind w:left="100" w:right="100"/>
            </w:pPr>
            <w:r>
              <w:rPr>
                <w:rFonts w:ascii="Arial" w:eastAsia="Arial" w:hAnsi="Arial" w:cs="Arial"/>
                <w:color w:val="000000"/>
                <w:sz w:val="18"/>
                <w:szCs w:val="18"/>
              </w:rPr>
              <w:t>Age</w:t>
            </w:r>
          </w:p>
        </w:tc>
        <w:tc>
          <w:tcPr>
            <w:tcW w:w="1728" w:type="dxa"/>
            <w:shd w:val="clear" w:color="auto" w:fill="EFEFEF"/>
            <w:tcMar>
              <w:top w:w="0" w:type="dxa"/>
              <w:left w:w="0" w:type="dxa"/>
              <w:bottom w:w="0" w:type="dxa"/>
              <w:right w:w="0" w:type="dxa"/>
            </w:tcMar>
            <w:vAlign w:val="center"/>
          </w:tcPr>
          <w:p w14:paraId="3566928B"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14:paraId="3B10BEDB" w14:textId="77777777" w:rsidR="001F2076" w:rsidRDefault="007F3B32">
            <w:pPr>
              <w:spacing w:before="100" w:after="100"/>
              <w:ind w:left="100" w:right="100"/>
            </w:pPr>
            <w:r>
              <w:rPr>
                <w:rFonts w:ascii="Arial" w:eastAsia="Arial" w:hAnsi="Arial" w:cs="Arial"/>
                <w:color w:val="000000"/>
                <w:sz w:val="18"/>
                <w:szCs w:val="18"/>
              </w:rPr>
              <w:t>0</w:t>
            </w:r>
          </w:p>
        </w:tc>
      </w:tr>
      <w:tr w:rsidR="001F2076" w14:paraId="0E6A817C" w14:textId="77777777">
        <w:trPr>
          <w:cantSplit/>
          <w:jc w:val="center"/>
        </w:trPr>
        <w:tc>
          <w:tcPr>
            <w:tcW w:w="2880" w:type="dxa"/>
            <w:shd w:val="clear" w:color="auto" w:fill="FFFFFF"/>
            <w:tcMar>
              <w:top w:w="0" w:type="dxa"/>
              <w:left w:w="0" w:type="dxa"/>
              <w:bottom w:w="0" w:type="dxa"/>
              <w:right w:w="0" w:type="dxa"/>
            </w:tcMar>
            <w:vAlign w:val="center"/>
          </w:tcPr>
          <w:p w14:paraId="3E24C2E3" w14:textId="77777777" w:rsidR="001F2076" w:rsidRDefault="007F3B32">
            <w:pPr>
              <w:spacing w:before="100" w:after="100"/>
              <w:ind w:left="100" w:right="100"/>
            </w:pPr>
            <w:r>
              <w:rPr>
                <w:rFonts w:ascii="Arial" w:eastAsia="Arial" w:hAnsi="Arial" w:cs="Arial"/>
                <w:color w:val="000000"/>
                <w:sz w:val="18"/>
                <w:szCs w:val="18"/>
              </w:rPr>
              <w:t>HIV Status</w:t>
            </w:r>
          </w:p>
        </w:tc>
        <w:tc>
          <w:tcPr>
            <w:tcW w:w="1728" w:type="dxa"/>
            <w:shd w:val="clear" w:color="auto" w:fill="FFFFFF"/>
            <w:tcMar>
              <w:top w:w="0" w:type="dxa"/>
              <w:left w:w="0" w:type="dxa"/>
              <w:bottom w:w="0" w:type="dxa"/>
              <w:right w:w="0" w:type="dxa"/>
            </w:tcMar>
            <w:vAlign w:val="center"/>
          </w:tcPr>
          <w:p w14:paraId="235546EC"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14:paraId="198E9804" w14:textId="77777777" w:rsidR="001F2076" w:rsidRDefault="007F3B32">
            <w:pPr>
              <w:spacing w:before="100" w:after="100"/>
              <w:ind w:left="100" w:right="100"/>
            </w:pPr>
            <w:r>
              <w:rPr>
                <w:rFonts w:ascii="Arial" w:eastAsia="Arial" w:hAnsi="Arial" w:cs="Arial"/>
                <w:color w:val="000000"/>
                <w:sz w:val="18"/>
                <w:szCs w:val="18"/>
              </w:rPr>
              <w:t>+</w:t>
            </w:r>
          </w:p>
        </w:tc>
      </w:tr>
      <w:tr w:rsidR="001F2076" w14:paraId="749FE407" w14:textId="77777777">
        <w:trPr>
          <w:cantSplit/>
          <w:jc w:val="center"/>
        </w:trPr>
        <w:tc>
          <w:tcPr>
            <w:tcW w:w="2880" w:type="dxa"/>
            <w:shd w:val="clear" w:color="auto" w:fill="EFEFEF"/>
            <w:tcMar>
              <w:top w:w="0" w:type="dxa"/>
              <w:left w:w="0" w:type="dxa"/>
              <w:bottom w:w="0" w:type="dxa"/>
              <w:right w:w="0" w:type="dxa"/>
            </w:tcMar>
            <w:vAlign w:val="center"/>
          </w:tcPr>
          <w:p w14:paraId="26F63615" w14:textId="77777777" w:rsidR="001F2076" w:rsidRDefault="007F3B32">
            <w:pPr>
              <w:spacing w:before="100" w:after="100"/>
              <w:ind w:left="100" w:right="100"/>
            </w:pPr>
            <w:r>
              <w:rPr>
                <w:rFonts w:ascii="Arial" w:eastAsia="Arial" w:hAnsi="Arial" w:cs="Arial"/>
                <w:color w:val="000000"/>
                <w:sz w:val="18"/>
                <w:szCs w:val="18"/>
              </w:rPr>
              <w:t>Past TB contact</w:t>
            </w:r>
          </w:p>
        </w:tc>
        <w:tc>
          <w:tcPr>
            <w:tcW w:w="1728" w:type="dxa"/>
            <w:shd w:val="clear" w:color="auto" w:fill="EFEFEF"/>
            <w:tcMar>
              <w:top w:w="0" w:type="dxa"/>
              <w:left w:w="0" w:type="dxa"/>
              <w:bottom w:w="0" w:type="dxa"/>
              <w:right w:w="0" w:type="dxa"/>
            </w:tcMar>
            <w:vAlign w:val="center"/>
          </w:tcPr>
          <w:p w14:paraId="4E859AC5"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14:paraId="768F5AEB" w14:textId="77777777" w:rsidR="001F2076" w:rsidRDefault="007F3B32">
            <w:pPr>
              <w:spacing w:before="100" w:after="100"/>
              <w:ind w:left="100" w:right="100"/>
            </w:pPr>
            <w:r>
              <w:rPr>
                <w:rFonts w:ascii="Arial" w:eastAsia="Arial" w:hAnsi="Arial" w:cs="Arial"/>
                <w:color w:val="000000"/>
                <w:sz w:val="18"/>
                <w:szCs w:val="18"/>
              </w:rPr>
              <w:t>0</w:t>
            </w:r>
          </w:p>
        </w:tc>
      </w:tr>
      <w:tr w:rsidR="001F2076" w14:paraId="78D09D7F" w14:textId="77777777">
        <w:trPr>
          <w:cantSplit/>
          <w:jc w:val="center"/>
        </w:trPr>
        <w:tc>
          <w:tcPr>
            <w:tcW w:w="2880" w:type="dxa"/>
            <w:shd w:val="clear" w:color="auto" w:fill="FFFFFF"/>
            <w:tcMar>
              <w:top w:w="0" w:type="dxa"/>
              <w:left w:w="0" w:type="dxa"/>
              <w:bottom w:w="0" w:type="dxa"/>
              <w:right w:w="0" w:type="dxa"/>
            </w:tcMar>
            <w:vAlign w:val="center"/>
          </w:tcPr>
          <w:p w14:paraId="34FBC7B8" w14:textId="77777777" w:rsidR="001F2076" w:rsidRDefault="007F3B32">
            <w:pPr>
              <w:spacing w:before="100" w:after="100"/>
              <w:ind w:left="100" w:right="100"/>
            </w:pPr>
            <w:r>
              <w:rPr>
                <w:rFonts w:ascii="Arial" w:eastAsia="Arial" w:hAnsi="Arial" w:cs="Arial"/>
                <w:color w:val="000000"/>
                <w:sz w:val="18"/>
                <w:szCs w:val="18"/>
              </w:rPr>
              <w:t>TB-suggested symptoms</w:t>
            </w:r>
          </w:p>
        </w:tc>
        <w:tc>
          <w:tcPr>
            <w:tcW w:w="1728" w:type="dxa"/>
            <w:shd w:val="clear" w:color="auto" w:fill="FFFFFF"/>
            <w:tcMar>
              <w:top w:w="0" w:type="dxa"/>
              <w:left w:w="0" w:type="dxa"/>
              <w:bottom w:w="0" w:type="dxa"/>
              <w:right w:w="0" w:type="dxa"/>
            </w:tcMar>
            <w:vAlign w:val="center"/>
          </w:tcPr>
          <w:p w14:paraId="3A29BC54"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14:paraId="6E2ABE3A" w14:textId="77777777" w:rsidR="001F2076" w:rsidRDefault="007F3B32">
            <w:pPr>
              <w:spacing w:before="100" w:after="100"/>
              <w:ind w:left="100" w:right="100"/>
            </w:pPr>
            <w:r>
              <w:rPr>
                <w:rFonts w:ascii="Arial" w:eastAsia="Arial" w:hAnsi="Arial" w:cs="Arial"/>
                <w:color w:val="000000"/>
                <w:sz w:val="18"/>
                <w:szCs w:val="18"/>
              </w:rPr>
              <w:t>0</w:t>
            </w:r>
          </w:p>
        </w:tc>
      </w:tr>
      <w:tr w:rsidR="001F2076" w14:paraId="61AB4BE0" w14:textId="77777777">
        <w:trPr>
          <w:cantSplit/>
          <w:jc w:val="center"/>
        </w:trPr>
        <w:tc>
          <w:tcPr>
            <w:tcW w:w="2880" w:type="dxa"/>
            <w:shd w:val="clear" w:color="auto" w:fill="EFEFEF"/>
            <w:tcMar>
              <w:top w:w="0" w:type="dxa"/>
              <w:left w:w="0" w:type="dxa"/>
              <w:bottom w:w="0" w:type="dxa"/>
              <w:right w:w="0" w:type="dxa"/>
            </w:tcMar>
            <w:vAlign w:val="center"/>
          </w:tcPr>
          <w:p w14:paraId="7636F6A9" w14:textId="77777777" w:rsidR="001F2076" w:rsidRDefault="007F3B32">
            <w:pPr>
              <w:spacing w:before="100" w:after="100"/>
              <w:ind w:left="100" w:right="100"/>
            </w:pPr>
            <w:r>
              <w:rPr>
                <w:rFonts w:ascii="Arial" w:eastAsia="Arial" w:hAnsi="Arial" w:cs="Arial"/>
                <w:color w:val="000000"/>
                <w:sz w:val="18"/>
                <w:szCs w:val="18"/>
              </w:rPr>
              <w:t>Local motor deficit</w:t>
            </w:r>
          </w:p>
        </w:tc>
        <w:tc>
          <w:tcPr>
            <w:tcW w:w="1728" w:type="dxa"/>
            <w:shd w:val="clear" w:color="auto" w:fill="EFEFEF"/>
            <w:tcMar>
              <w:top w:w="0" w:type="dxa"/>
              <w:left w:w="0" w:type="dxa"/>
              <w:bottom w:w="0" w:type="dxa"/>
              <w:right w:w="0" w:type="dxa"/>
            </w:tcMar>
            <w:vAlign w:val="center"/>
          </w:tcPr>
          <w:p w14:paraId="35A1B665"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14:paraId="17DF040E" w14:textId="77777777" w:rsidR="001F2076" w:rsidRDefault="007F3B32">
            <w:pPr>
              <w:spacing w:before="100" w:after="100"/>
              <w:ind w:left="100" w:right="100"/>
            </w:pPr>
            <w:r>
              <w:rPr>
                <w:rFonts w:ascii="Arial" w:eastAsia="Arial" w:hAnsi="Arial" w:cs="Arial"/>
                <w:color w:val="000000"/>
                <w:sz w:val="18"/>
                <w:szCs w:val="18"/>
              </w:rPr>
              <w:t>0</w:t>
            </w:r>
          </w:p>
        </w:tc>
      </w:tr>
      <w:tr w:rsidR="001F2076" w14:paraId="06FCFD0F" w14:textId="77777777">
        <w:trPr>
          <w:cantSplit/>
          <w:jc w:val="center"/>
        </w:trPr>
        <w:tc>
          <w:tcPr>
            <w:tcW w:w="2880" w:type="dxa"/>
            <w:shd w:val="clear" w:color="auto" w:fill="FFFFFF"/>
            <w:tcMar>
              <w:top w:w="0" w:type="dxa"/>
              <w:left w:w="0" w:type="dxa"/>
              <w:bottom w:w="0" w:type="dxa"/>
              <w:right w:w="0" w:type="dxa"/>
            </w:tcMar>
            <w:vAlign w:val="center"/>
          </w:tcPr>
          <w:p w14:paraId="038AB276" w14:textId="77777777" w:rsidR="001F2076" w:rsidRDefault="007F3B32">
            <w:pPr>
              <w:spacing w:before="100" w:after="100"/>
              <w:ind w:left="100" w:right="100"/>
            </w:pPr>
            <w:r>
              <w:rPr>
                <w:rFonts w:ascii="Arial" w:eastAsia="Arial" w:hAnsi="Arial" w:cs="Arial"/>
                <w:color w:val="000000"/>
                <w:sz w:val="18"/>
                <w:szCs w:val="18"/>
              </w:rPr>
              <w:t>Cranial nerve palsy</w:t>
            </w:r>
          </w:p>
        </w:tc>
        <w:tc>
          <w:tcPr>
            <w:tcW w:w="1728" w:type="dxa"/>
            <w:shd w:val="clear" w:color="auto" w:fill="FFFFFF"/>
            <w:tcMar>
              <w:top w:w="0" w:type="dxa"/>
              <w:left w:w="0" w:type="dxa"/>
              <w:bottom w:w="0" w:type="dxa"/>
              <w:right w:w="0" w:type="dxa"/>
            </w:tcMar>
            <w:vAlign w:val="center"/>
          </w:tcPr>
          <w:p w14:paraId="7AED036C"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14:paraId="71A94D07" w14:textId="77777777" w:rsidR="001F2076" w:rsidRDefault="007F3B32">
            <w:pPr>
              <w:spacing w:before="100" w:after="100"/>
              <w:ind w:left="100" w:right="100"/>
            </w:pPr>
            <w:r>
              <w:rPr>
                <w:rFonts w:ascii="Arial" w:eastAsia="Arial" w:hAnsi="Arial" w:cs="Arial"/>
                <w:color w:val="000000"/>
                <w:sz w:val="18"/>
                <w:szCs w:val="18"/>
              </w:rPr>
              <w:t>0</w:t>
            </w:r>
          </w:p>
        </w:tc>
      </w:tr>
      <w:tr w:rsidR="001F2076" w14:paraId="24009208" w14:textId="77777777">
        <w:trPr>
          <w:cantSplit/>
          <w:jc w:val="center"/>
        </w:trPr>
        <w:tc>
          <w:tcPr>
            <w:tcW w:w="2880" w:type="dxa"/>
            <w:shd w:val="clear" w:color="auto" w:fill="EFEFEF"/>
            <w:tcMar>
              <w:top w:w="0" w:type="dxa"/>
              <w:left w:w="0" w:type="dxa"/>
              <w:bottom w:w="0" w:type="dxa"/>
              <w:right w:w="0" w:type="dxa"/>
            </w:tcMar>
            <w:vAlign w:val="center"/>
          </w:tcPr>
          <w:p w14:paraId="3284D123" w14:textId="77777777" w:rsidR="001F2076" w:rsidRDefault="007F3B32">
            <w:pPr>
              <w:spacing w:before="100" w:after="100"/>
              <w:ind w:left="100" w:right="100"/>
            </w:pPr>
            <w:r>
              <w:rPr>
                <w:rFonts w:ascii="Arial" w:eastAsia="Arial" w:hAnsi="Arial" w:cs="Arial"/>
                <w:color w:val="000000"/>
                <w:sz w:val="18"/>
                <w:szCs w:val="18"/>
              </w:rPr>
              <w:t>Days from onset</w:t>
            </w:r>
          </w:p>
        </w:tc>
        <w:tc>
          <w:tcPr>
            <w:tcW w:w="1728" w:type="dxa"/>
            <w:shd w:val="clear" w:color="auto" w:fill="EFEFEF"/>
            <w:tcMar>
              <w:top w:w="0" w:type="dxa"/>
              <w:left w:w="0" w:type="dxa"/>
              <w:bottom w:w="0" w:type="dxa"/>
              <w:right w:w="0" w:type="dxa"/>
            </w:tcMar>
            <w:vAlign w:val="center"/>
          </w:tcPr>
          <w:p w14:paraId="2C57F765"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14:paraId="45BAA2B3" w14:textId="77777777" w:rsidR="001F2076" w:rsidRDefault="007F3B32">
            <w:pPr>
              <w:spacing w:before="100" w:after="100"/>
              <w:ind w:left="100" w:right="100"/>
            </w:pPr>
            <w:r>
              <w:rPr>
                <w:rFonts w:ascii="Arial" w:eastAsia="Arial" w:hAnsi="Arial" w:cs="Arial"/>
                <w:color w:val="000000"/>
                <w:sz w:val="18"/>
                <w:szCs w:val="18"/>
              </w:rPr>
              <w:t>0</w:t>
            </w:r>
          </w:p>
        </w:tc>
      </w:tr>
      <w:tr w:rsidR="001F2076" w14:paraId="316315EC" w14:textId="77777777">
        <w:trPr>
          <w:cantSplit/>
          <w:jc w:val="center"/>
        </w:trPr>
        <w:tc>
          <w:tcPr>
            <w:tcW w:w="2880" w:type="dxa"/>
            <w:shd w:val="clear" w:color="auto" w:fill="FFFFFF"/>
            <w:tcMar>
              <w:top w:w="0" w:type="dxa"/>
              <w:left w:w="0" w:type="dxa"/>
              <w:bottom w:w="0" w:type="dxa"/>
              <w:right w:w="0" w:type="dxa"/>
            </w:tcMar>
            <w:vAlign w:val="center"/>
          </w:tcPr>
          <w:p w14:paraId="44EF110D" w14:textId="77777777" w:rsidR="001F2076" w:rsidRDefault="007F3B32">
            <w:pPr>
              <w:spacing w:before="100" w:after="100"/>
              <w:ind w:left="100" w:right="100"/>
            </w:pPr>
            <w:r>
              <w:rPr>
                <w:rFonts w:ascii="Arial" w:eastAsia="Arial" w:hAnsi="Arial" w:cs="Arial"/>
                <w:color w:val="000000"/>
                <w:sz w:val="18"/>
                <w:szCs w:val="18"/>
              </w:rPr>
              <w:t>PTB/X-Ray</w:t>
            </w:r>
          </w:p>
        </w:tc>
        <w:tc>
          <w:tcPr>
            <w:tcW w:w="1728" w:type="dxa"/>
            <w:shd w:val="clear" w:color="auto" w:fill="FFFFFF"/>
            <w:tcMar>
              <w:top w:w="0" w:type="dxa"/>
              <w:left w:w="0" w:type="dxa"/>
              <w:bottom w:w="0" w:type="dxa"/>
              <w:right w:w="0" w:type="dxa"/>
            </w:tcMar>
            <w:vAlign w:val="center"/>
          </w:tcPr>
          <w:p w14:paraId="226DF8E4"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14:paraId="6FF1FC25" w14:textId="77777777" w:rsidR="001F2076" w:rsidRDefault="007F3B32">
            <w:pPr>
              <w:spacing w:before="100" w:after="100"/>
              <w:ind w:left="100" w:right="100"/>
            </w:pPr>
            <w:r>
              <w:rPr>
                <w:rFonts w:ascii="Arial" w:eastAsia="Arial" w:hAnsi="Arial" w:cs="Arial"/>
                <w:color w:val="000000"/>
                <w:sz w:val="18"/>
                <w:szCs w:val="18"/>
              </w:rPr>
              <w:t>0</w:t>
            </w:r>
          </w:p>
        </w:tc>
      </w:tr>
      <w:tr w:rsidR="001F2076" w14:paraId="776AA5EA" w14:textId="77777777">
        <w:trPr>
          <w:cantSplit/>
          <w:jc w:val="center"/>
        </w:trPr>
        <w:tc>
          <w:tcPr>
            <w:tcW w:w="2880" w:type="dxa"/>
            <w:shd w:val="clear" w:color="auto" w:fill="EFEFEF"/>
            <w:tcMar>
              <w:top w:w="0" w:type="dxa"/>
              <w:left w:w="0" w:type="dxa"/>
              <w:bottom w:w="0" w:type="dxa"/>
              <w:right w:w="0" w:type="dxa"/>
            </w:tcMar>
            <w:vAlign w:val="center"/>
          </w:tcPr>
          <w:p w14:paraId="414CC997" w14:textId="77777777" w:rsidR="001F2076" w:rsidRDefault="007F3B32">
            <w:pPr>
              <w:spacing w:before="100" w:after="100"/>
              <w:ind w:left="100" w:right="100"/>
            </w:pPr>
            <w:r>
              <w:rPr>
                <w:rFonts w:ascii="Arial" w:eastAsia="Arial" w:hAnsi="Arial" w:cs="Arial"/>
                <w:color w:val="000000"/>
                <w:sz w:val="18"/>
                <w:szCs w:val="18"/>
              </w:rPr>
              <w:t>MTB/X-Ray</w:t>
            </w:r>
          </w:p>
        </w:tc>
        <w:tc>
          <w:tcPr>
            <w:tcW w:w="1728" w:type="dxa"/>
            <w:shd w:val="clear" w:color="auto" w:fill="EFEFEF"/>
            <w:tcMar>
              <w:top w:w="0" w:type="dxa"/>
              <w:left w:w="0" w:type="dxa"/>
              <w:bottom w:w="0" w:type="dxa"/>
              <w:right w:w="0" w:type="dxa"/>
            </w:tcMar>
            <w:vAlign w:val="center"/>
          </w:tcPr>
          <w:p w14:paraId="39DE6AF1"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14:paraId="24B96529" w14:textId="77777777" w:rsidR="001F2076" w:rsidRDefault="007F3B32">
            <w:pPr>
              <w:spacing w:before="100" w:after="100"/>
              <w:ind w:left="100" w:right="100"/>
            </w:pPr>
            <w:r>
              <w:rPr>
                <w:rFonts w:ascii="Arial" w:eastAsia="Arial" w:hAnsi="Arial" w:cs="Arial"/>
                <w:color w:val="000000"/>
                <w:sz w:val="18"/>
                <w:szCs w:val="18"/>
              </w:rPr>
              <w:t>0</w:t>
            </w:r>
          </w:p>
        </w:tc>
      </w:tr>
      <w:tr w:rsidR="001F2076" w14:paraId="0A9A9FBD" w14:textId="77777777">
        <w:trPr>
          <w:cantSplit/>
          <w:jc w:val="center"/>
        </w:trPr>
        <w:tc>
          <w:tcPr>
            <w:tcW w:w="2880" w:type="dxa"/>
            <w:shd w:val="clear" w:color="auto" w:fill="FFFFFF"/>
            <w:tcMar>
              <w:top w:w="0" w:type="dxa"/>
              <w:left w:w="0" w:type="dxa"/>
              <w:bottom w:w="0" w:type="dxa"/>
              <w:right w:w="0" w:type="dxa"/>
            </w:tcMar>
            <w:vAlign w:val="center"/>
          </w:tcPr>
          <w:p w14:paraId="516C01E9" w14:textId="77777777" w:rsidR="001F2076" w:rsidRDefault="007F3B32">
            <w:pPr>
              <w:spacing w:before="100" w:after="100"/>
              <w:ind w:left="100" w:right="100"/>
            </w:pPr>
            <w:r>
              <w:rPr>
                <w:rFonts w:ascii="Arial" w:eastAsia="Arial" w:hAnsi="Arial" w:cs="Arial"/>
                <w:color w:val="000000"/>
                <w:sz w:val="18"/>
                <w:szCs w:val="18"/>
              </w:rPr>
              <w:t>GCS</w:t>
            </w:r>
          </w:p>
        </w:tc>
        <w:tc>
          <w:tcPr>
            <w:tcW w:w="1728" w:type="dxa"/>
            <w:shd w:val="clear" w:color="auto" w:fill="FFFFFF"/>
            <w:tcMar>
              <w:top w:w="0" w:type="dxa"/>
              <w:left w:w="0" w:type="dxa"/>
              <w:bottom w:w="0" w:type="dxa"/>
              <w:right w:w="0" w:type="dxa"/>
            </w:tcMar>
            <w:vAlign w:val="center"/>
          </w:tcPr>
          <w:p w14:paraId="379223E2"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14:paraId="7C775F94" w14:textId="77777777" w:rsidR="001F2076" w:rsidRDefault="007F3B32">
            <w:pPr>
              <w:spacing w:before="100" w:after="100"/>
              <w:ind w:left="100" w:right="100"/>
            </w:pPr>
            <w:r>
              <w:rPr>
                <w:rFonts w:ascii="Arial" w:eastAsia="Arial" w:hAnsi="Arial" w:cs="Arial"/>
                <w:color w:val="000000"/>
                <w:sz w:val="18"/>
                <w:szCs w:val="18"/>
              </w:rPr>
              <w:t>0</w:t>
            </w:r>
          </w:p>
        </w:tc>
      </w:tr>
      <w:tr w:rsidR="001F2076" w14:paraId="6F9D627F" w14:textId="77777777">
        <w:trPr>
          <w:cantSplit/>
          <w:jc w:val="center"/>
        </w:trPr>
        <w:tc>
          <w:tcPr>
            <w:tcW w:w="2880" w:type="dxa"/>
            <w:shd w:val="clear" w:color="auto" w:fill="EFEFEF"/>
            <w:tcMar>
              <w:top w:w="0" w:type="dxa"/>
              <w:left w:w="0" w:type="dxa"/>
              <w:bottom w:w="0" w:type="dxa"/>
              <w:right w:w="0" w:type="dxa"/>
            </w:tcMar>
            <w:vAlign w:val="center"/>
          </w:tcPr>
          <w:p w14:paraId="68EEC995" w14:textId="77777777" w:rsidR="001F2076" w:rsidRDefault="007F3B32">
            <w:pPr>
              <w:spacing w:before="100" w:after="100"/>
              <w:ind w:left="100" w:right="100"/>
            </w:pPr>
            <w:r>
              <w:rPr>
                <w:rFonts w:ascii="Arial" w:eastAsia="Arial" w:hAnsi="Arial" w:cs="Arial"/>
                <w:color w:val="000000"/>
                <w:sz w:val="18"/>
                <w:szCs w:val="18"/>
              </w:rPr>
              <w:t>Cryptococcus Antigen/Indian Ink</w:t>
            </w:r>
          </w:p>
        </w:tc>
        <w:tc>
          <w:tcPr>
            <w:tcW w:w="1728" w:type="dxa"/>
            <w:shd w:val="clear" w:color="auto" w:fill="EFEFEF"/>
            <w:tcMar>
              <w:top w:w="0" w:type="dxa"/>
              <w:left w:w="0" w:type="dxa"/>
              <w:bottom w:w="0" w:type="dxa"/>
              <w:right w:w="0" w:type="dxa"/>
            </w:tcMar>
            <w:vAlign w:val="center"/>
          </w:tcPr>
          <w:p w14:paraId="2BB8549D"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14:paraId="5992CBB2" w14:textId="77777777" w:rsidR="001F2076" w:rsidRDefault="007F3B32">
            <w:pPr>
              <w:spacing w:before="100" w:after="100"/>
              <w:ind w:left="100" w:right="100"/>
            </w:pPr>
            <w:r>
              <w:rPr>
                <w:rFonts w:ascii="Arial" w:eastAsia="Arial" w:hAnsi="Arial" w:cs="Arial"/>
                <w:color w:val="000000"/>
                <w:sz w:val="18"/>
                <w:szCs w:val="18"/>
              </w:rPr>
              <w:t>0</w:t>
            </w:r>
          </w:p>
        </w:tc>
      </w:tr>
      <w:tr w:rsidR="001F2076" w14:paraId="02BCF1B6" w14:textId="77777777">
        <w:trPr>
          <w:cantSplit/>
          <w:jc w:val="center"/>
        </w:trPr>
        <w:tc>
          <w:tcPr>
            <w:tcW w:w="2880" w:type="dxa"/>
            <w:shd w:val="clear" w:color="auto" w:fill="FFFFFF"/>
            <w:tcMar>
              <w:top w:w="0" w:type="dxa"/>
              <w:left w:w="0" w:type="dxa"/>
              <w:bottom w:w="0" w:type="dxa"/>
              <w:right w:w="0" w:type="dxa"/>
            </w:tcMar>
            <w:vAlign w:val="center"/>
          </w:tcPr>
          <w:p w14:paraId="03D8A57D" w14:textId="77777777" w:rsidR="001F2076" w:rsidRDefault="007F3B32">
            <w:pPr>
              <w:spacing w:before="100" w:after="100"/>
              <w:ind w:left="100" w:right="100"/>
            </w:pPr>
            <w:r>
              <w:rPr>
                <w:rFonts w:ascii="Arial" w:eastAsia="Arial" w:hAnsi="Arial" w:cs="Arial"/>
                <w:color w:val="000000"/>
                <w:sz w:val="18"/>
                <w:szCs w:val="18"/>
              </w:rPr>
              <w:t>Blood Glucose</w:t>
            </w:r>
          </w:p>
        </w:tc>
        <w:tc>
          <w:tcPr>
            <w:tcW w:w="1728" w:type="dxa"/>
            <w:shd w:val="clear" w:color="auto" w:fill="FFFFFF"/>
            <w:tcMar>
              <w:top w:w="0" w:type="dxa"/>
              <w:left w:w="0" w:type="dxa"/>
              <w:bottom w:w="0" w:type="dxa"/>
              <w:right w:w="0" w:type="dxa"/>
            </w:tcMar>
            <w:vAlign w:val="center"/>
          </w:tcPr>
          <w:p w14:paraId="29516FEC"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14:paraId="343F7D76" w14:textId="77777777" w:rsidR="001F2076" w:rsidRDefault="007F3B32">
            <w:pPr>
              <w:spacing w:before="100" w:after="100"/>
              <w:ind w:left="100" w:right="100"/>
            </w:pPr>
            <w:r>
              <w:rPr>
                <w:rFonts w:ascii="Arial" w:eastAsia="Arial" w:hAnsi="Arial" w:cs="Arial"/>
                <w:color w:val="000000"/>
                <w:sz w:val="18"/>
                <w:szCs w:val="18"/>
              </w:rPr>
              <w:t>0</w:t>
            </w:r>
          </w:p>
        </w:tc>
      </w:tr>
      <w:tr w:rsidR="001F2076" w14:paraId="6E67EEC3" w14:textId="77777777">
        <w:trPr>
          <w:cantSplit/>
          <w:jc w:val="center"/>
        </w:trPr>
        <w:tc>
          <w:tcPr>
            <w:tcW w:w="2880" w:type="dxa"/>
            <w:shd w:val="clear" w:color="auto" w:fill="EFEFEF"/>
            <w:tcMar>
              <w:top w:w="0" w:type="dxa"/>
              <w:left w:w="0" w:type="dxa"/>
              <w:bottom w:w="0" w:type="dxa"/>
              <w:right w:w="0" w:type="dxa"/>
            </w:tcMar>
            <w:vAlign w:val="center"/>
          </w:tcPr>
          <w:p w14:paraId="25917E6D" w14:textId="77777777" w:rsidR="001F2076" w:rsidRDefault="007F3B32">
            <w:pPr>
              <w:spacing w:before="100" w:after="100"/>
              <w:ind w:left="100" w:right="100"/>
            </w:pPr>
            <w:r>
              <w:rPr>
                <w:rFonts w:ascii="Arial" w:eastAsia="Arial" w:hAnsi="Arial" w:cs="Arial"/>
                <w:color w:val="000000"/>
                <w:sz w:val="18"/>
                <w:szCs w:val="18"/>
              </w:rPr>
              <w:t>CSF Glucose</w:t>
            </w:r>
          </w:p>
        </w:tc>
        <w:tc>
          <w:tcPr>
            <w:tcW w:w="1728" w:type="dxa"/>
            <w:shd w:val="clear" w:color="auto" w:fill="EFEFEF"/>
            <w:tcMar>
              <w:top w:w="0" w:type="dxa"/>
              <w:left w:w="0" w:type="dxa"/>
              <w:bottom w:w="0" w:type="dxa"/>
              <w:right w:w="0" w:type="dxa"/>
            </w:tcMar>
            <w:vAlign w:val="center"/>
          </w:tcPr>
          <w:p w14:paraId="59ABF4FD"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14:paraId="34E27324" w14:textId="77777777" w:rsidR="001F2076" w:rsidRDefault="007F3B32">
            <w:pPr>
              <w:spacing w:before="100" w:after="100"/>
              <w:ind w:left="100" w:right="100"/>
            </w:pPr>
            <w:r>
              <w:rPr>
                <w:rFonts w:ascii="Arial" w:eastAsia="Arial" w:hAnsi="Arial" w:cs="Arial"/>
                <w:color w:val="000000"/>
                <w:sz w:val="18"/>
                <w:szCs w:val="18"/>
              </w:rPr>
              <w:t>?</w:t>
            </w:r>
          </w:p>
        </w:tc>
      </w:tr>
      <w:tr w:rsidR="001F2076" w14:paraId="46A5256D" w14:textId="77777777">
        <w:trPr>
          <w:cantSplit/>
          <w:jc w:val="center"/>
        </w:trPr>
        <w:tc>
          <w:tcPr>
            <w:tcW w:w="2880" w:type="dxa"/>
            <w:shd w:val="clear" w:color="auto" w:fill="FFFFFF"/>
            <w:tcMar>
              <w:top w:w="0" w:type="dxa"/>
              <w:left w:w="0" w:type="dxa"/>
              <w:bottom w:w="0" w:type="dxa"/>
              <w:right w:w="0" w:type="dxa"/>
            </w:tcMar>
            <w:vAlign w:val="center"/>
          </w:tcPr>
          <w:p w14:paraId="243FA202" w14:textId="77777777" w:rsidR="001F2076" w:rsidRDefault="007F3B32">
            <w:pPr>
              <w:spacing w:before="100" w:after="100"/>
              <w:ind w:left="100" w:right="100"/>
            </w:pPr>
            <w:r>
              <w:rPr>
                <w:rFonts w:ascii="Arial" w:eastAsia="Arial" w:hAnsi="Arial" w:cs="Arial"/>
                <w:color w:val="000000"/>
                <w:sz w:val="18"/>
                <w:szCs w:val="18"/>
              </w:rPr>
              <w:lastRenderedPageBreak/>
              <w:t>CSF Lymphocyte Count</w:t>
            </w:r>
          </w:p>
        </w:tc>
        <w:tc>
          <w:tcPr>
            <w:tcW w:w="1728" w:type="dxa"/>
            <w:shd w:val="clear" w:color="auto" w:fill="FFFFFF"/>
            <w:tcMar>
              <w:top w:w="0" w:type="dxa"/>
              <w:left w:w="0" w:type="dxa"/>
              <w:bottom w:w="0" w:type="dxa"/>
              <w:right w:w="0" w:type="dxa"/>
            </w:tcMar>
            <w:vAlign w:val="center"/>
          </w:tcPr>
          <w:p w14:paraId="3836E13F"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14:paraId="2C6C0268" w14:textId="77777777" w:rsidR="001F2076" w:rsidRDefault="007F3B32">
            <w:pPr>
              <w:spacing w:before="100" w:after="100"/>
              <w:ind w:left="100" w:right="100"/>
            </w:pPr>
            <w:r>
              <w:rPr>
                <w:rFonts w:ascii="Arial" w:eastAsia="Arial" w:hAnsi="Arial" w:cs="Arial"/>
                <w:color w:val="000000"/>
                <w:sz w:val="18"/>
                <w:szCs w:val="18"/>
              </w:rPr>
              <w:t>?</w:t>
            </w:r>
          </w:p>
        </w:tc>
      </w:tr>
      <w:tr w:rsidR="001F2076" w14:paraId="391B25D8" w14:textId="77777777">
        <w:trPr>
          <w:cantSplit/>
          <w:jc w:val="center"/>
        </w:trPr>
        <w:tc>
          <w:tcPr>
            <w:tcW w:w="2880" w:type="dxa"/>
            <w:shd w:val="clear" w:color="auto" w:fill="EFEFEF"/>
            <w:tcMar>
              <w:top w:w="0" w:type="dxa"/>
              <w:left w:w="0" w:type="dxa"/>
              <w:bottom w:w="0" w:type="dxa"/>
              <w:right w:w="0" w:type="dxa"/>
            </w:tcMar>
            <w:vAlign w:val="center"/>
          </w:tcPr>
          <w:p w14:paraId="489991AD" w14:textId="77777777" w:rsidR="001F2076" w:rsidRDefault="007F3B32">
            <w:pPr>
              <w:spacing w:before="100" w:after="100"/>
              <w:ind w:left="100" w:right="100"/>
            </w:pPr>
            <w:r>
              <w:rPr>
                <w:rFonts w:ascii="Arial" w:eastAsia="Arial" w:hAnsi="Arial" w:cs="Arial"/>
                <w:color w:val="000000"/>
                <w:sz w:val="18"/>
                <w:szCs w:val="18"/>
              </w:rPr>
              <w:t>CSF Neutrophil Count</w:t>
            </w:r>
          </w:p>
        </w:tc>
        <w:tc>
          <w:tcPr>
            <w:tcW w:w="1728" w:type="dxa"/>
            <w:shd w:val="clear" w:color="auto" w:fill="EFEFEF"/>
            <w:tcMar>
              <w:top w:w="0" w:type="dxa"/>
              <w:left w:w="0" w:type="dxa"/>
              <w:bottom w:w="0" w:type="dxa"/>
              <w:right w:w="0" w:type="dxa"/>
            </w:tcMar>
            <w:vAlign w:val="center"/>
          </w:tcPr>
          <w:p w14:paraId="467673D6" w14:textId="77777777" w:rsidR="001F2076" w:rsidRDefault="007F3B32">
            <w:pPr>
              <w:spacing w:before="100" w:after="100"/>
              <w:ind w:left="100" w:right="100"/>
            </w:pPr>
            <w:r>
              <w:rPr>
                <w:rFonts w:ascii="Arial" w:eastAsia="Arial" w:hAnsi="Arial" w:cs="Arial"/>
                <w:color w:val="000000"/>
                <w:sz w:val="18"/>
                <w:szCs w:val="18"/>
              </w:rPr>
              <w:t>+/0/-</w:t>
            </w:r>
          </w:p>
        </w:tc>
        <w:tc>
          <w:tcPr>
            <w:tcW w:w="1728" w:type="dxa"/>
            <w:shd w:val="clear" w:color="auto" w:fill="EFEFEF"/>
            <w:tcMar>
              <w:top w:w="0" w:type="dxa"/>
              <w:left w:w="0" w:type="dxa"/>
              <w:bottom w:w="0" w:type="dxa"/>
              <w:right w:w="0" w:type="dxa"/>
            </w:tcMar>
            <w:vAlign w:val="center"/>
          </w:tcPr>
          <w:p w14:paraId="4946B85A" w14:textId="77777777" w:rsidR="001F2076" w:rsidRDefault="007F3B32">
            <w:pPr>
              <w:spacing w:before="100" w:after="100"/>
              <w:ind w:left="100" w:right="100"/>
            </w:pPr>
            <w:r>
              <w:rPr>
                <w:rFonts w:ascii="Arial" w:eastAsia="Arial" w:hAnsi="Arial" w:cs="Arial"/>
                <w:color w:val="000000"/>
                <w:sz w:val="18"/>
                <w:szCs w:val="18"/>
              </w:rPr>
              <w:t>?</w:t>
            </w:r>
          </w:p>
        </w:tc>
      </w:tr>
      <w:tr w:rsidR="001F2076" w14:paraId="1BFCD4BF" w14:textId="77777777">
        <w:trPr>
          <w:cantSplit/>
          <w:jc w:val="center"/>
        </w:trPr>
        <w:tc>
          <w:tcPr>
            <w:tcW w:w="2880" w:type="dxa"/>
            <w:shd w:val="clear" w:color="auto" w:fill="FFFFFF"/>
            <w:tcMar>
              <w:top w:w="0" w:type="dxa"/>
              <w:left w:w="0" w:type="dxa"/>
              <w:bottom w:w="0" w:type="dxa"/>
              <w:right w:w="0" w:type="dxa"/>
            </w:tcMar>
            <w:vAlign w:val="center"/>
          </w:tcPr>
          <w:p w14:paraId="61879E71" w14:textId="77777777" w:rsidR="001F2076" w:rsidRDefault="007F3B32">
            <w:pPr>
              <w:spacing w:before="100" w:after="100"/>
              <w:ind w:left="100" w:right="100"/>
            </w:pPr>
            <w:r>
              <w:rPr>
                <w:rFonts w:ascii="Arial" w:eastAsia="Arial" w:hAnsi="Arial" w:cs="Arial"/>
                <w:color w:val="000000"/>
                <w:sz w:val="18"/>
                <w:szCs w:val="18"/>
              </w:rPr>
              <w:t>CSF Protein</w:t>
            </w:r>
          </w:p>
        </w:tc>
        <w:tc>
          <w:tcPr>
            <w:tcW w:w="1728" w:type="dxa"/>
            <w:shd w:val="clear" w:color="auto" w:fill="FFFFFF"/>
            <w:tcMar>
              <w:top w:w="0" w:type="dxa"/>
              <w:left w:w="0" w:type="dxa"/>
              <w:bottom w:w="0" w:type="dxa"/>
              <w:right w:w="0" w:type="dxa"/>
            </w:tcMar>
            <w:vAlign w:val="center"/>
          </w:tcPr>
          <w:p w14:paraId="2AD64020"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14:paraId="7866D4C0" w14:textId="77777777" w:rsidR="001F2076" w:rsidRDefault="007F3B32">
            <w:pPr>
              <w:spacing w:before="100" w:after="100"/>
              <w:ind w:left="100" w:right="100"/>
            </w:pPr>
            <w:r>
              <w:rPr>
                <w:rFonts w:ascii="Arial" w:eastAsia="Arial" w:hAnsi="Arial" w:cs="Arial"/>
                <w:color w:val="000000"/>
                <w:sz w:val="18"/>
                <w:szCs w:val="18"/>
              </w:rPr>
              <w:t>?</w:t>
            </w:r>
          </w:p>
        </w:tc>
      </w:tr>
      <w:tr w:rsidR="001F2076" w14:paraId="053BD03E" w14:textId="77777777">
        <w:trPr>
          <w:cantSplit/>
          <w:jc w:val="center"/>
        </w:trPr>
        <w:tc>
          <w:tcPr>
            <w:tcW w:w="2880" w:type="dxa"/>
            <w:shd w:val="clear" w:color="auto" w:fill="EFEFEF"/>
            <w:tcMar>
              <w:top w:w="0" w:type="dxa"/>
              <w:left w:w="0" w:type="dxa"/>
              <w:bottom w:w="0" w:type="dxa"/>
              <w:right w:w="0" w:type="dxa"/>
            </w:tcMar>
            <w:vAlign w:val="center"/>
          </w:tcPr>
          <w:p w14:paraId="4D7A54C4" w14:textId="77777777" w:rsidR="001F2076" w:rsidRDefault="007F3B32">
            <w:pPr>
              <w:spacing w:before="100" w:after="100"/>
              <w:ind w:left="100" w:right="100"/>
            </w:pPr>
            <w:r>
              <w:rPr>
                <w:rFonts w:ascii="Arial" w:eastAsia="Arial" w:hAnsi="Arial" w:cs="Arial"/>
                <w:color w:val="000000"/>
                <w:sz w:val="18"/>
                <w:szCs w:val="18"/>
              </w:rPr>
              <w:t>CSF Lactate</w:t>
            </w:r>
          </w:p>
        </w:tc>
        <w:tc>
          <w:tcPr>
            <w:tcW w:w="1728" w:type="dxa"/>
            <w:shd w:val="clear" w:color="auto" w:fill="EFEFEF"/>
            <w:tcMar>
              <w:top w:w="0" w:type="dxa"/>
              <w:left w:w="0" w:type="dxa"/>
              <w:bottom w:w="0" w:type="dxa"/>
              <w:right w:w="0" w:type="dxa"/>
            </w:tcMar>
            <w:vAlign w:val="center"/>
          </w:tcPr>
          <w:p w14:paraId="6912B193"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14:paraId="0D335475" w14:textId="77777777" w:rsidR="001F2076" w:rsidRDefault="007F3B32">
            <w:pPr>
              <w:spacing w:before="100" w:after="100"/>
              <w:ind w:left="100" w:right="100"/>
            </w:pPr>
            <w:r>
              <w:rPr>
                <w:rFonts w:ascii="Arial" w:eastAsia="Arial" w:hAnsi="Arial" w:cs="Arial"/>
                <w:color w:val="000000"/>
                <w:sz w:val="18"/>
                <w:szCs w:val="18"/>
              </w:rPr>
              <w:t>?</w:t>
            </w:r>
          </w:p>
        </w:tc>
      </w:tr>
      <w:tr w:rsidR="001F2076" w14:paraId="139096B1" w14:textId="77777777">
        <w:trPr>
          <w:cantSplit/>
          <w:jc w:val="center"/>
        </w:trPr>
        <w:tc>
          <w:tcPr>
            <w:tcW w:w="2880" w:type="dxa"/>
            <w:shd w:val="clear" w:color="auto" w:fill="FFFFFF"/>
            <w:tcMar>
              <w:top w:w="0" w:type="dxa"/>
              <w:left w:w="0" w:type="dxa"/>
              <w:bottom w:w="0" w:type="dxa"/>
              <w:right w:w="0" w:type="dxa"/>
            </w:tcMar>
            <w:vAlign w:val="center"/>
          </w:tcPr>
          <w:p w14:paraId="62B095CA" w14:textId="77777777" w:rsidR="001F2076" w:rsidRDefault="007F3B32">
            <w:pPr>
              <w:spacing w:before="100" w:after="100"/>
              <w:ind w:left="100" w:right="100"/>
            </w:pPr>
            <w:r>
              <w:rPr>
                <w:rFonts w:ascii="Arial" w:eastAsia="Arial" w:hAnsi="Arial" w:cs="Arial"/>
                <w:color w:val="000000"/>
                <w:sz w:val="18"/>
                <w:szCs w:val="18"/>
              </w:rPr>
              <w:t xml:space="preserve">CSF </w:t>
            </w:r>
            <w:proofErr w:type="spellStart"/>
            <w:r>
              <w:rPr>
                <w:rFonts w:ascii="Arial" w:eastAsia="Arial" w:hAnsi="Arial" w:cs="Arial"/>
                <w:color w:val="000000"/>
                <w:sz w:val="18"/>
                <w:szCs w:val="18"/>
              </w:rPr>
              <w:t>Oeosinophil</w:t>
            </w:r>
            <w:proofErr w:type="spellEnd"/>
            <w:r>
              <w:rPr>
                <w:rFonts w:ascii="Arial" w:eastAsia="Arial" w:hAnsi="Arial" w:cs="Arial"/>
                <w:color w:val="000000"/>
                <w:sz w:val="18"/>
                <w:szCs w:val="18"/>
              </w:rPr>
              <w:t xml:space="preserve"> Count</w:t>
            </w:r>
          </w:p>
        </w:tc>
        <w:tc>
          <w:tcPr>
            <w:tcW w:w="1728" w:type="dxa"/>
            <w:shd w:val="clear" w:color="auto" w:fill="FFFFFF"/>
            <w:tcMar>
              <w:top w:w="0" w:type="dxa"/>
              <w:left w:w="0" w:type="dxa"/>
              <w:bottom w:w="0" w:type="dxa"/>
              <w:right w:w="0" w:type="dxa"/>
            </w:tcMar>
            <w:vAlign w:val="center"/>
          </w:tcPr>
          <w:p w14:paraId="2B6F5A39"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14:paraId="69E50F80" w14:textId="77777777" w:rsidR="001F2076" w:rsidRDefault="007F3B32">
            <w:pPr>
              <w:spacing w:before="100" w:after="100"/>
              <w:ind w:left="100" w:right="100"/>
            </w:pPr>
            <w:r>
              <w:rPr>
                <w:rFonts w:ascii="Arial" w:eastAsia="Arial" w:hAnsi="Arial" w:cs="Arial"/>
                <w:color w:val="000000"/>
                <w:sz w:val="18"/>
                <w:szCs w:val="18"/>
              </w:rPr>
              <w:t>0</w:t>
            </w:r>
          </w:p>
        </w:tc>
      </w:tr>
      <w:tr w:rsidR="001F2076" w14:paraId="6C9C1368" w14:textId="77777777">
        <w:trPr>
          <w:cantSplit/>
          <w:jc w:val="center"/>
        </w:trPr>
        <w:tc>
          <w:tcPr>
            <w:tcW w:w="2880" w:type="dxa"/>
            <w:shd w:val="clear" w:color="auto" w:fill="EFEFEF"/>
            <w:tcMar>
              <w:top w:w="0" w:type="dxa"/>
              <w:left w:w="0" w:type="dxa"/>
              <w:bottom w:w="0" w:type="dxa"/>
              <w:right w:w="0" w:type="dxa"/>
            </w:tcMar>
            <w:vAlign w:val="center"/>
          </w:tcPr>
          <w:p w14:paraId="2CF1BB13" w14:textId="77777777" w:rsidR="001F2076" w:rsidRDefault="007F3B32">
            <w:pPr>
              <w:spacing w:before="100" w:after="100"/>
              <w:ind w:left="100" w:right="100"/>
            </w:pPr>
            <w:r>
              <w:rPr>
                <w:rFonts w:ascii="Arial" w:eastAsia="Arial" w:hAnsi="Arial" w:cs="Arial"/>
                <w:color w:val="000000"/>
                <w:sz w:val="18"/>
                <w:szCs w:val="18"/>
              </w:rPr>
              <w:t>CSF RBC Count</w:t>
            </w:r>
          </w:p>
        </w:tc>
        <w:tc>
          <w:tcPr>
            <w:tcW w:w="1728" w:type="dxa"/>
            <w:shd w:val="clear" w:color="auto" w:fill="EFEFEF"/>
            <w:tcMar>
              <w:top w:w="0" w:type="dxa"/>
              <w:left w:w="0" w:type="dxa"/>
              <w:bottom w:w="0" w:type="dxa"/>
              <w:right w:w="0" w:type="dxa"/>
            </w:tcMar>
            <w:vAlign w:val="center"/>
          </w:tcPr>
          <w:p w14:paraId="50A29946" w14:textId="77777777"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14:paraId="08DEF650" w14:textId="77777777" w:rsidR="001F2076" w:rsidRDefault="007F3B32">
            <w:pPr>
              <w:spacing w:before="100" w:after="100"/>
              <w:ind w:left="100" w:right="100"/>
            </w:pPr>
            <w:r>
              <w:rPr>
                <w:rFonts w:ascii="Arial" w:eastAsia="Arial" w:hAnsi="Arial" w:cs="Arial"/>
                <w:color w:val="000000"/>
                <w:sz w:val="18"/>
                <w:szCs w:val="18"/>
              </w:rPr>
              <w:t>0</w:t>
            </w:r>
          </w:p>
        </w:tc>
      </w:tr>
      <w:tr w:rsidR="001F2076" w14:paraId="5DEEBC31" w14:textId="77777777">
        <w:trPr>
          <w:cantSplit/>
          <w:jc w:val="center"/>
        </w:trPr>
        <w:tc>
          <w:tcPr>
            <w:tcW w:w="6336" w:type="dxa"/>
            <w:gridSpan w:val="3"/>
            <w:shd w:val="clear" w:color="auto" w:fill="CFCFCF"/>
            <w:tcMar>
              <w:top w:w="0" w:type="dxa"/>
              <w:left w:w="0" w:type="dxa"/>
              <w:bottom w:w="0" w:type="dxa"/>
              <w:right w:w="0" w:type="dxa"/>
            </w:tcMar>
            <w:vAlign w:val="center"/>
          </w:tcPr>
          <w:p w14:paraId="3AA16D66" w14:textId="77777777" w:rsidR="001F2076" w:rsidRDefault="007F3B32">
            <w:pPr>
              <w:spacing w:before="100" w:after="100"/>
              <w:ind w:left="100" w:right="100"/>
            </w:pPr>
            <w:r>
              <w:rPr>
                <w:rFonts w:ascii="Arial" w:eastAsia="Arial" w:hAnsi="Arial" w:cs="Arial"/>
                <w:b/>
                <w:color w:val="000000"/>
                <w:sz w:val="18"/>
                <w:szCs w:val="18"/>
              </w:rPr>
              <w:t>"++" predictors were strongly believed to be positive risk factors</w:t>
            </w:r>
          </w:p>
        </w:tc>
      </w:tr>
      <w:tr w:rsidR="001F2076" w14:paraId="38F2CC3D" w14:textId="77777777">
        <w:trPr>
          <w:cantSplit/>
          <w:jc w:val="center"/>
        </w:trPr>
        <w:tc>
          <w:tcPr>
            <w:tcW w:w="6336" w:type="dxa"/>
            <w:gridSpan w:val="3"/>
            <w:shd w:val="clear" w:color="auto" w:fill="FFFFFF"/>
            <w:tcMar>
              <w:top w:w="0" w:type="dxa"/>
              <w:left w:w="0" w:type="dxa"/>
              <w:bottom w:w="0" w:type="dxa"/>
              <w:right w:w="0" w:type="dxa"/>
            </w:tcMar>
            <w:vAlign w:val="center"/>
          </w:tcPr>
          <w:p w14:paraId="2AB69159" w14:textId="77777777" w:rsidR="001F2076" w:rsidRDefault="007F3B32">
            <w:pPr>
              <w:spacing w:before="100" w:after="100"/>
              <w:ind w:left="100" w:right="100"/>
            </w:pPr>
            <w:r>
              <w:rPr>
                <w:rFonts w:ascii="Arial" w:eastAsia="Arial" w:hAnsi="Arial" w:cs="Arial"/>
                <w:b/>
                <w:color w:val="000000"/>
                <w:sz w:val="18"/>
                <w:szCs w:val="18"/>
              </w:rPr>
              <w:t>"0" predictors were not included in any model</w:t>
            </w:r>
          </w:p>
        </w:tc>
      </w:tr>
      <w:tr w:rsidR="001F2076" w14:paraId="5F783521" w14:textId="77777777">
        <w:trPr>
          <w:cantSplit/>
          <w:jc w:val="center"/>
        </w:trPr>
        <w:tc>
          <w:tcPr>
            <w:tcW w:w="6336" w:type="dxa"/>
            <w:gridSpan w:val="3"/>
            <w:shd w:val="clear" w:color="auto" w:fill="CFCFCF"/>
            <w:tcMar>
              <w:top w:w="0" w:type="dxa"/>
              <w:left w:w="0" w:type="dxa"/>
              <w:bottom w:w="0" w:type="dxa"/>
              <w:right w:w="0" w:type="dxa"/>
            </w:tcMar>
            <w:vAlign w:val="center"/>
          </w:tcPr>
          <w:p w14:paraId="55920FE2" w14:textId="77777777" w:rsidR="001F2076" w:rsidRDefault="007F3B32">
            <w:pPr>
              <w:spacing w:before="100" w:after="100"/>
              <w:ind w:left="100" w:right="100"/>
            </w:pPr>
            <w:r>
              <w:rPr>
                <w:rFonts w:ascii="Arial" w:eastAsia="Arial" w:hAnsi="Arial" w:cs="Arial"/>
                <w:b/>
                <w:color w:val="000000"/>
                <w:sz w:val="18"/>
                <w:szCs w:val="18"/>
              </w:rPr>
              <w:t>"?" predictors were included and excluded in separated models.</w:t>
            </w:r>
          </w:p>
        </w:tc>
      </w:tr>
    </w:tbl>
    <w:p w14:paraId="219B1FA3" w14:textId="77777777" w:rsidR="001F2076" w:rsidRDefault="007F3B32">
      <w:pPr>
        <w:pStyle w:val="BodyText"/>
      </w:pPr>
      <w:r>
        <w:t xml:space="preserve">The inclusion of covariates was performed according to prior knowledge of potential predictors that share association with the infection risk and test sensitivity, </w:t>
      </w:r>
      <w:proofErr w:type="spellStart"/>
      <w:r>
        <w:t>summarised</w:t>
      </w:r>
      <w:proofErr w:type="spellEnd"/>
      <w:r>
        <w:t xml:space="preserve"> in table </w:t>
      </w:r>
      <w:hyperlink w:anchor="predictor-tab">
        <w:r>
          <w:fldChar w:fldCharType="begin"/>
        </w:r>
        <w:r>
          <w:instrText xml:space="preserve"> REF predictor-tab \h</w:instrText>
        </w:r>
        <w:r>
          <w:fldChar w:fldCharType="end"/>
        </w:r>
      </w:hyperlink>
      <w:r>
        <w:t xml:space="preserve">). </w:t>
      </w:r>
    </w:p>
    <w:p w14:paraId="5719723A" w14:textId="77777777" w:rsidR="001F2076" w:rsidRDefault="007F3B32">
      <w:pPr>
        <w:pStyle w:val="Figure"/>
      </w:pPr>
      <w:r>
        <w:rPr>
          <w:noProof/>
          <w:lang w:val="en-GB" w:eastAsia="en-GB"/>
        </w:rPr>
        <w:drawing>
          <wp:inline distT="0" distB="0" distL="0" distR="0" wp14:anchorId="5983247A" wp14:editId="171B3BC8">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w14:paraId="063FF5E3" w14:textId="77777777" w:rsidR="001F2076" w:rsidRDefault="007F3B32">
      <w:pPr>
        <w:pStyle w:val="ImageCaption"/>
      </w:pPr>
      <w:r>
        <w:t xml:space="preserve">Figure </w:t>
      </w:r>
      <w:bookmarkStart w:id="11" w:name="skeleton-model"/>
      <w:r>
        <w:fldChar w:fldCharType="begin"/>
      </w:r>
      <w:r>
        <w:instrText>SEQ fig \* Arabic</w:instrText>
      </w:r>
      <w:r>
        <w:fldChar w:fldCharType="end"/>
      </w:r>
      <w:bookmarkEnd w:id="11"/>
      <w:r>
        <w:t>: Model skeleton. Bacillary Burden is only available in model 2+</w:t>
      </w:r>
    </w:p>
    <w:p w14:paraId="5EC8BEA2" w14:textId="77777777" w:rsidR="001F2076" w:rsidRDefault="007F3B32">
      <w:pPr>
        <w:pStyle w:val="BodyText"/>
      </w:pPr>
      <w:r>
        <w:t xml:space="preserve">The skeleton for all models is shown in figure </w:t>
      </w:r>
      <w:hyperlink w:anchor="skeleton-model">
        <w:r>
          <w:fldChar w:fldCharType="begin"/>
        </w:r>
        <w:r>
          <w:instrText xml:space="preserve"> REF skeleton-model \h</w:instrText>
        </w:r>
        <w:r>
          <w:fldChar w:fldCharType="end"/>
        </w:r>
      </w:hyperlink>
      <w:r>
        <w:t xml:space="preserve">. We use a stepwise approach where we incrementally added up more flexibility and lifted more constraints. We also include several extensions to explore many possibilities than can improve performance. In the main analysis, only CSF neutrophil count had quadratic effect as suggested by the TBM case definition (Marais et al. 2010). A summary of all architectures an extensions are shown in table </w:t>
      </w:r>
      <w:hyperlink w:anchor="model-archs">
        <w:r>
          <w:fldChar w:fldCharType="begin"/>
        </w:r>
        <w:r>
          <w:instrText xml:space="preserve"> REF model-archs \h</w:instrText>
        </w:r>
        <w:r>
          <w:fldChar w:fldCharType="end"/>
        </w:r>
      </w:hyperlink>
      <w:r>
        <w:t xml:space="preserve">, whereas technical formulations are detailed in appendix </w:t>
      </w:r>
      <w:hyperlink w:anchor="appendix-details">
        <w:r>
          <w:fldChar w:fldCharType="begin"/>
        </w:r>
        <w:r>
          <w:instrText xml:space="preserve"> REF appendix-details \h \r</w:instrText>
        </w:r>
        <w:r>
          <w:fldChar w:fldCharType="end"/>
        </w:r>
      </w:hyperlink>
      <w:r>
        <w:t>.</w:t>
      </w:r>
    </w:p>
    <w:p w14:paraId="56463D65" w14:textId="77777777" w:rsidR="001F2076" w:rsidRDefault="007F3B32">
      <w:pPr>
        <w:pStyle w:val="TableCaption"/>
      </w:pPr>
      <w:r>
        <w:lastRenderedPageBreak/>
        <w:t>Model architectures and extensions</w:t>
      </w:r>
    </w:p>
    <w:tbl>
      <w:tblPr>
        <w:tblW w:w="0" w:type="auto"/>
        <w:jc w:val="center"/>
        <w:tblLayout w:type="fixed"/>
        <w:tblLook w:val="0420" w:firstRow="1" w:lastRow="0" w:firstColumn="0" w:lastColumn="0" w:noHBand="0" w:noVBand="1"/>
      </w:tblPr>
      <w:tblGrid>
        <w:gridCol w:w="720"/>
        <w:gridCol w:w="2592"/>
        <w:gridCol w:w="2592"/>
        <w:gridCol w:w="2592"/>
      </w:tblGrid>
      <w:tr w:rsidR="001F2076" w14:paraId="2F0EF3AC" w14:textId="77777777">
        <w:trPr>
          <w:cantSplit/>
          <w:tblHeader/>
          <w:jc w:val="center"/>
        </w:trPr>
        <w:tc>
          <w:tcPr>
            <w:tcW w:w="720" w:type="dxa"/>
            <w:shd w:val="clear" w:color="auto" w:fill="CFCFCF"/>
            <w:tcMar>
              <w:top w:w="0" w:type="dxa"/>
              <w:left w:w="0" w:type="dxa"/>
              <w:bottom w:w="0" w:type="dxa"/>
              <w:right w:w="0" w:type="dxa"/>
            </w:tcMar>
            <w:vAlign w:val="center"/>
          </w:tcPr>
          <w:p w14:paraId="5FAE1EC9" w14:textId="77777777" w:rsidR="001F2076" w:rsidRDefault="007F3B32">
            <w:pPr>
              <w:spacing w:before="100" w:after="100"/>
              <w:ind w:left="100" w:right="100"/>
              <w:jc w:val="right"/>
            </w:pPr>
            <w:r>
              <w:rPr>
                <w:rFonts w:ascii="Arial" w:eastAsia="Arial" w:hAnsi="Arial" w:cs="Arial"/>
                <w:b/>
                <w:color w:val="000000"/>
                <w:sz w:val="18"/>
                <w:szCs w:val="18"/>
              </w:rPr>
              <w:t>Model</w:t>
            </w:r>
          </w:p>
        </w:tc>
        <w:tc>
          <w:tcPr>
            <w:tcW w:w="2592" w:type="dxa"/>
            <w:shd w:val="clear" w:color="auto" w:fill="CFCFCF"/>
            <w:tcMar>
              <w:top w:w="0" w:type="dxa"/>
              <w:left w:w="0" w:type="dxa"/>
              <w:bottom w:w="0" w:type="dxa"/>
              <w:right w:w="0" w:type="dxa"/>
            </w:tcMar>
            <w:vAlign w:val="center"/>
          </w:tcPr>
          <w:p w14:paraId="35DFEFB8" w14:textId="77777777" w:rsidR="001F2076" w:rsidRDefault="007F3B32">
            <w:pPr>
              <w:spacing w:before="100" w:after="100"/>
              <w:ind w:left="100" w:right="100"/>
            </w:pPr>
            <w:r>
              <w:rPr>
                <w:rFonts w:ascii="Arial" w:eastAsia="Arial" w:hAnsi="Arial" w:cs="Arial"/>
                <w:b/>
                <w:color w:val="000000"/>
                <w:sz w:val="18"/>
                <w:szCs w:val="18"/>
              </w:rPr>
              <w:t>Base definition (compared to the lower one)</w:t>
            </w:r>
          </w:p>
        </w:tc>
        <w:tc>
          <w:tcPr>
            <w:tcW w:w="2592" w:type="dxa"/>
            <w:shd w:val="clear" w:color="auto" w:fill="CFCFCF"/>
            <w:tcMar>
              <w:top w:w="0" w:type="dxa"/>
              <w:left w:w="0" w:type="dxa"/>
              <w:bottom w:w="0" w:type="dxa"/>
              <w:right w:w="0" w:type="dxa"/>
            </w:tcMar>
            <w:vAlign w:val="center"/>
          </w:tcPr>
          <w:p w14:paraId="6AFC327E" w14:textId="77777777" w:rsidR="001F2076" w:rsidRDefault="007F3B32">
            <w:pPr>
              <w:spacing w:before="100" w:after="100"/>
              <w:ind w:left="100" w:right="100"/>
            </w:pPr>
            <w:r>
              <w:rPr>
                <w:rFonts w:ascii="Arial" w:eastAsia="Arial" w:hAnsi="Arial" w:cs="Arial"/>
                <w:b/>
                <w:color w:val="000000"/>
                <w:sz w:val="18"/>
                <w:szCs w:val="18"/>
              </w:rPr>
              <w:t>Non-linear effects in Prevalence model</w:t>
            </w:r>
          </w:p>
        </w:tc>
        <w:tc>
          <w:tcPr>
            <w:tcW w:w="2592" w:type="dxa"/>
            <w:shd w:val="clear" w:color="auto" w:fill="CFCFCF"/>
            <w:tcMar>
              <w:top w:w="0" w:type="dxa"/>
              <w:left w:w="0" w:type="dxa"/>
              <w:bottom w:w="0" w:type="dxa"/>
              <w:right w:w="0" w:type="dxa"/>
            </w:tcMar>
            <w:vAlign w:val="center"/>
          </w:tcPr>
          <w:p w14:paraId="682A0501" w14:textId="77777777" w:rsidR="001F2076" w:rsidRDefault="007F3B32">
            <w:pPr>
              <w:spacing w:before="100" w:after="100"/>
              <w:ind w:left="100" w:right="100"/>
            </w:pPr>
            <w:r>
              <w:rPr>
                <w:rFonts w:ascii="Arial" w:eastAsia="Arial" w:hAnsi="Arial" w:cs="Arial"/>
                <w:b/>
                <w:color w:val="000000"/>
                <w:sz w:val="18"/>
                <w:szCs w:val="18"/>
              </w:rPr>
              <w:t>Covariates in bacillary burden</w:t>
            </w:r>
          </w:p>
        </w:tc>
      </w:tr>
      <w:tr w:rsidR="001F2076" w14:paraId="3B1754DF" w14:textId="77777777">
        <w:trPr>
          <w:cantSplit/>
          <w:jc w:val="center"/>
        </w:trPr>
        <w:tc>
          <w:tcPr>
            <w:tcW w:w="720" w:type="dxa"/>
            <w:shd w:val="clear" w:color="auto" w:fill="EFEFEF"/>
            <w:tcMar>
              <w:top w:w="0" w:type="dxa"/>
              <w:left w:w="0" w:type="dxa"/>
              <w:bottom w:w="0" w:type="dxa"/>
              <w:right w:w="0" w:type="dxa"/>
            </w:tcMar>
            <w:vAlign w:val="center"/>
          </w:tcPr>
          <w:p w14:paraId="6BA6CE12" w14:textId="77777777" w:rsidR="001F2076" w:rsidRDefault="007F3B32">
            <w:pPr>
              <w:spacing w:before="100" w:after="100"/>
              <w:ind w:left="100" w:right="100"/>
              <w:jc w:val="right"/>
            </w:pPr>
            <w:r>
              <w:rPr>
                <w:rFonts w:ascii="Arial" w:eastAsia="Arial" w:hAnsi="Arial" w:cs="Arial"/>
                <w:color w:val="000000"/>
                <w:sz w:val="18"/>
                <w:szCs w:val="18"/>
              </w:rPr>
              <w:t>1</w:t>
            </w:r>
          </w:p>
        </w:tc>
        <w:tc>
          <w:tcPr>
            <w:tcW w:w="2592" w:type="dxa"/>
            <w:shd w:val="clear" w:color="auto" w:fill="EFEFEF"/>
            <w:tcMar>
              <w:top w:w="0" w:type="dxa"/>
              <w:left w:w="0" w:type="dxa"/>
              <w:bottom w:w="0" w:type="dxa"/>
              <w:right w:w="0" w:type="dxa"/>
            </w:tcMar>
            <w:vAlign w:val="center"/>
          </w:tcPr>
          <w:p w14:paraId="793C7867" w14:textId="77777777" w:rsidR="001F2076" w:rsidRDefault="007F3B32">
            <w:pPr>
              <w:spacing w:before="100" w:after="100"/>
              <w:ind w:left="100" w:right="100"/>
            </w:pPr>
            <w:r>
              <w:rPr>
                <w:rFonts w:ascii="Arial" w:eastAsia="Arial" w:hAnsi="Arial" w:cs="Arial"/>
                <w:color w:val="000000"/>
                <w:sz w:val="18"/>
                <w:szCs w:val="18"/>
              </w:rPr>
              <w:t xml:space="preserve">No </w:t>
            </w:r>
            <w:proofErr w:type="spellStart"/>
            <w:r>
              <w:rPr>
                <w:rFonts w:ascii="Arial" w:eastAsia="Arial" w:hAnsi="Arial" w:cs="Arial"/>
                <w:color w:val="000000"/>
                <w:sz w:val="18"/>
                <w:szCs w:val="18"/>
              </w:rPr>
              <w:t>baccillary</w:t>
            </w:r>
            <w:proofErr w:type="spellEnd"/>
            <w:r>
              <w:rPr>
                <w:rFonts w:ascii="Arial" w:eastAsia="Arial" w:hAnsi="Arial" w:cs="Arial"/>
                <w:color w:val="000000"/>
                <w:sz w:val="18"/>
                <w:szCs w:val="18"/>
              </w:rPr>
              <w:t xml:space="preserve"> burden; everyone in the same class has equal risk of tested positive</w:t>
            </w:r>
          </w:p>
        </w:tc>
        <w:tc>
          <w:tcPr>
            <w:tcW w:w="2592" w:type="dxa"/>
            <w:shd w:val="clear" w:color="auto" w:fill="EFEFEF"/>
            <w:tcMar>
              <w:top w:w="0" w:type="dxa"/>
              <w:left w:w="0" w:type="dxa"/>
              <w:bottom w:w="0" w:type="dxa"/>
              <w:right w:w="0" w:type="dxa"/>
            </w:tcMar>
            <w:vAlign w:val="center"/>
          </w:tcPr>
          <w:p w14:paraId="1FE40EF7" w14:textId="77777777" w:rsidR="001F2076" w:rsidRDefault="007F3B32">
            <w:pPr>
              <w:spacing w:before="100" w:after="100"/>
              <w:ind w:left="100" w:right="100"/>
            </w:pPr>
            <w:r>
              <w:rPr>
                <w:rFonts w:ascii="Arial" w:eastAsia="Arial" w:hAnsi="Arial" w:cs="Arial"/>
                <w:color w:val="000000"/>
                <w:sz w:val="18"/>
                <w:szCs w:val="18"/>
              </w:rPr>
              <w:t>-</w:t>
            </w:r>
          </w:p>
        </w:tc>
        <w:tc>
          <w:tcPr>
            <w:tcW w:w="2592" w:type="dxa"/>
            <w:shd w:val="clear" w:color="auto" w:fill="EFEFEF"/>
            <w:tcMar>
              <w:top w:w="0" w:type="dxa"/>
              <w:left w:w="0" w:type="dxa"/>
              <w:bottom w:w="0" w:type="dxa"/>
              <w:right w:w="0" w:type="dxa"/>
            </w:tcMar>
            <w:vAlign w:val="center"/>
          </w:tcPr>
          <w:p w14:paraId="0B1EE3D7" w14:textId="77777777" w:rsidR="001F2076" w:rsidRDefault="007F3B32">
            <w:pPr>
              <w:spacing w:before="100" w:after="100"/>
              <w:ind w:left="100" w:right="100"/>
            </w:pPr>
            <w:r>
              <w:rPr>
                <w:rFonts w:ascii="Arial" w:eastAsia="Arial" w:hAnsi="Arial" w:cs="Arial"/>
                <w:color w:val="000000"/>
                <w:sz w:val="18"/>
                <w:szCs w:val="18"/>
              </w:rPr>
              <w:t>-</w:t>
            </w:r>
          </w:p>
        </w:tc>
      </w:tr>
      <w:tr w:rsidR="001F2076" w14:paraId="5393D111" w14:textId="77777777">
        <w:trPr>
          <w:cantSplit/>
          <w:jc w:val="center"/>
        </w:trPr>
        <w:tc>
          <w:tcPr>
            <w:tcW w:w="720" w:type="dxa"/>
            <w:shd w:val="clear" w:color="auto" w:fill="FFFFFF"/>
            <w:tcMar>
              <w:top w:w="0" w:type="dxa"/>
              <w:left w:w="0" w:type="dxa"/>
              <w:bottom w:w="0" w:type="dxa"/>
              <w:right w:w="0" w:type="dxa"/>
            </w:tcMar>
            <w:vAlign w:val="center"/>
          </w:tcPr>
          <w:p w14:paraId="091FB779" w14:textId="77777777" w:rsidR="001F2076" w:rsidRDefault="007F3B32">
            <w:pPr>
              <w:spacing w:before="100" w:after="100"/>
              <w:ind w:left="100" w:right="100"/>
              <w:jc w:val="right"/>
            </w:pPr>
            <w:r>
              <w:rPr>
                <w:rFonts w:ascii="Arial" w:eastAsia="Arial" w:hAnsi="Arial" w:cs="Arial"/>
                <w:color w:val="000000"/>
                <w:sz w:val="18"/>
                <w:szCs w:val="18"/>
              </w:rPr>
              <w:t>2</w:t>
            </w:r>
          </w:p>
        </w:tc>
        <w:tc>
          <w:tcPr>
            <w:tcW w:w="2592" w:type="dxa"/>
            <w:shd w:val="clear" w:color="auto" w:fill="FFFFFF"/>
            <w:tcMar>
              <w:top w:w="0" w:type="dxa"/>
              <w:left w:w="0" w:type="dxa"/>
              <w:bottom w:w="0" w:type="dxa"/>
              <w:right w:w="0" w:type="dxa"/>
            </w:tcMar>
            <w:vAlign w:val="center"/>
          </w:tcPr>
          <w:p w14:paraId="20CE42DF" w14:textId="77777777" w:rsidR="001F2076" w:rsidRDefault="007F3B32">
            <w:pPr>
              <w:spacing w:before="100" w:after="100"/>
              <w:ind w:left="100" w:right="100"/>
            </w:pPr>
            <w:r>
              <w:rPr>
                <w:rFonts w:ascii="Arial" w:eastAsia="Arial" w:hAnsi="Arial" w:cs="Arial"/>
                <w:color w:val="000000"/>
                <w:sz w:val="18"/>
                <w:szCs w:val="18"/>
              </w:rPr>
              <w:t>Added individual bacillary burden; impacts of bacillary burden on test results are the same</w:t>
            </w:r>
          </w:p>
        </w:tc>
        <w:tc>
          <w:tcPr>
            <w:tcW w:w="2592" w:type="dxa"/>
            <w:shd w:val="clear" w:color="auto" w:fill="FFFFFF"/>
            <w:tcMar>
              <w:top w:w="0" w:type="dxa"/>
              <w:left w:w="0" w:type="dxa"/>
              <w:bottom w:w="0" w:type="dxa"/>
              <w:right w:w="0" w:type="dxa"/>
            </w:tcMar>
            <w:vAlign w:val="center"/>
          </w:tcPr>
          <w:p w14:paraId="23E83B68" w14:textId="77777777" w:rsidR="001F2076" w:rsidRDefault="007F3B32">
            <w:pPr>
              <w:spacing w:before="100" w:after="100"/>
              <w:ind w:left="100" w:right="100"/>
            </w:pPr>
            <w:r>
              <w:rPr>
                <w:rFonts w:ascii="Arial" w:eastAsia="Arial" w:hAnsi="Arial" w:cs="Arial"/>
                <w:color w:val="000000"/>
                <w:sz w:val="18"/>
                <w:szCs w:val="18"/>
              </w:rPr>
              <w:t>CSF Neutrophil count</w:t>
            </w:r>
          </w:p>
        </w:tc>
        <w:tc>
          <w:tcPr>
            <w:tcW w:w="2592" w:type="dxa"/>
            <w:shd w:val="clear" w:color="auto" w:fill="FFFFFF"/>
            <w:tcMar>
              <w:top w:w="0" w:type="dxa"/>
              <w:left w:w="0" w:type="dxa"/>
              <w:bottom w:w="0" w:type="dxa"/>
              <w:right w:w="0" w:type="dxa"/>
            </w:tcMar>
            <w:vAlign w:val="center"/>
          </w:tcPr>
          <w:p w14:paraId="1F3BC8D2" w14:textId="77777777" w:rsidR="001F2076" w:rsidRDefault="007F3B32">
            <w:pPr>
              <w:spacing w:before="100" w:after="100"/>
              <w:ind w:left="100" w:right="100"/>
            </w:pPr>
            <w:r>
              <w:rPr>
                <w:rFonts w:ascii="Arial" w:eastAsia="Arial" w:hAnsi="Arial" w:cs="Arial"/>
                <w:color w:val="000000"/>
                <w:sz w:val="18"/>
                <w:szCs w:val="18"/>
              </w:rPr>
              <w:t xml:space="preserve">HIV status </w:t>
            </w:r>
            <w:r>
              <w:rPr>
                <w:rFonts w:ascii="Arial" w:eastAsia="Arial" w:hAnsi="Arial" w:cs="Arial"/>
                <w:color w:val="000000"/>
                <w:sz w:val="18"/>
                <w:szCs w:val="18"/>
              </w:rPr>
              <w:br/>
              <w:t xml:space="preserve"> CSF Glucose </w:t>
            </w:r>
            <w:r>
              <w:rPr>
                <w:rFonts w:ascii="Arial" w:eastAsia="Arial" w:hAnsi="Arial" w:cs="Arial"/>
                <w:color w:val="000000"/>
                <w:sz w:val="18"/>
                <w:szCs w:val="18"/>
              </w:rPr>
              <w:br/>
              <w:t xml:space="preserve"> CSF Lymphocyte count </w:t>
            </w:r>
            <w:r>
              <w:rPr>
                <w:rFonts w:ascii="Arial" w:eastAsia="Arial" w:hAnsi="Arial" w:cs="Arial"/>
                <w:color w:val="000000"/>
                <w:sz w:val="18"/>
                <w:szCs w:val="18"/>
              </w:rPr>
              <w:br/>
              <w:t xml:space="preserve"> CSF Neutrophil count </w:t>
            </w:r>
            <w:r>
              <w:rPr>
                <w:rFonts w:ascii="Arial" w:eastAsia="Arial" w:hAnsi="Arial" w:cs="Arial"/>
                <w:color w:val="000000"/>
                <w:sz w:val="18"/>
                <w:szCs w:val="18"/>
              </w:rPr>
              <w:br/>
              <w:t xml:space="preserve"> CSF Protein </w:t>
            </w:r>
            <w:r>
              <w:rPr>
                <w:rFonts w:ascii="Arial" w:eastAsia="Arial" w:hAnsi="Arial" w:cs="Arial"/>
                <w:color w:val="000000"/>
                <w:sz w:val="18"/>
                <w:szCs w:val="18"/>
              </w:rPr>
              <w:br/>
              <w:t xml:space="preserve"> CSF Lactate</w:t>
            </w:r>
          </w:p>
        </w:tc>
      </w:tr>
      <w:tr w:rsidR="001F2076" w14:paraId="519188D3" w14:textId="77777777">
        <w:trPr>
          <w:cantSplit/>
          <w:jc w:val="center"/>
        </w:trPr>
        <w:tc>
          <w:tcPr>
            <w:tcW w:w="720" w:type="dxa"/>
            <w:shd w:val="clear" w:color="auto" w:fill="EFEFEF"/>
            <w:tcMar>
              <w:top w:w="0" w:type="dxa"/>
              <w:left w:w="0" w:type="dxa"/>
              <w:bottom w:w="0" w:type="dxa"/>
              <w:right w:w="0" w:type="dxa"/>
            </w:tcMar>
            <w:vAlign w:val="center"/>
          </w:tcPr>
          <w:p w14:paraId="68C85C87" w14:textId="77777777" w:rsidR="001F2076" w:rsidRDefault="007F3B32">
            <w:pPr>
              <w:spacing w:before="100" w:after="100"/>
              <w:ind w:left="100" w:right="100"/>
              <w:jc w:val="right"/>
            </w:pPr>
            <w:r>
              <w:rPr>
                <w:rFonts w:ascii="Arial" w:eastAsia="Arial" w:hAnsi="Arial" w:cs="Arial"/>
                <w:color w:val="000000"/>
                <w:sz w:val="18"/>
                <w:szCs w:val="18"/>
              </w:rPr>
              <w:t>3</w:t>
            </w:r>
          </w:p>
        </w:tc>
        <w:tc>
          <w:tcPr>
            <w:tcW w:w="2592" w:type="dxa"/>
            <w:shd w:val="clear" w:color="auto" w:fill="EFEFEF"/>
            <w:tcMar>
              <w:top w:w="0" w:type="dxa"/>
              <w:left w:w="0" w:type="dxa"/>
              <w:bottom w:w="0" w:type="dxa"/>
              <w:right w:w="0" w:type="dxa"/>
            </w:tcMar>
            <w:vAlign w:val="center"/>
          </w:tcPr>
          <w:p w14:paraId="6992A1B3" w14:textId="77777777" w:rsidR="001F2076" w:rsidRDefault="007F3B32">
            <w:pPr>
              <w:spacing w:before="100" w:after="100"/>
              <w:ind w:left="100" w:right="100"/>
            </w:pPr>
            <w:r>
              <w:rPr>
                <w:rFonts w:ascii="Arial" w:eastAsia="Arial" w:hAnsi="Arial" w:cs="Arial"/>
                <w:color w:val="000000"/>
                <w:sz w:val="18"/>
                <w:szCs w:val="18"/>
              </w:rPr>
              <w:t>Impacts of bacillary burden are different for different tests</w:t>
            </w:r>
          </w:p>
        </w:tc>
        <w:tc>
          <w:tcPr>
            <w:tcW w:w="2592" w:type="dxa"/>
            <w:shd w:val="clear" w:color="auto" w:fill="EFEFEF"/>
            <w:tcMar>
              <w:top w:w="0" w:type="dxa"/>
              <w:left w:w="0" w:type="dxa"/>
              <w:bottom w:w="0" w:type="dxa"/>
              <w:right w:w="0" w:type="dxa"/>
            </w:tcMar>
            <w:vAlign w:val="center"/>
          </w:tcPr>
          <w:p w14:paraId="39523721" w14:textId="77777777" w:rsidR="001F2076" w:rsidRDefault="007F3B32">
            <w:pPr>
              <w:spacing w:before="100" w:after="100"/>
              <w:ind w:left="100" w:right="100"/>
            </w:pPr>
            <w:r>
              <w:rPr>
                <w:rFonts w:ascii="Arial" w:eastAsia="Arial" w:hAnsi="Arial" w:cs="Arial"/>
                <w:color w:val="000000"/>
                <w:sz w:val="18"/>
                <w:szCs w:val="18"/>
              </w:rPr>
              <w:t>CSF Neutrophil count</w:t>
            </w:r>
          </w:p>
        </w:tc>
        <w:tc>
          <w:tcPr>
            <w:tcW w:w="2592" w:type="dxa"/>
            <w:shd w:val="clear" w:color="auto" w:fill="EFEFEF"/>
            <w:tcMar>
              <w:top w:w="0" w:type="dxa"/>
              <w:left w:w="0" w:type="dxa"/>
              <w:bottom w:w="0" w:type="dxa"/>
              <w:right w:w="0" w:type="dxa"/>
            </w:tcMar>
            <w:vAlign w:val="center"/>
          </w:tcPr>
          <w:p w14:paraId="2219C46F" w14:textId="77777777" w:rsidR="001F2076" w:rsidRDefault="007F3B32">
            <w:pPr>
              <w:spacing w:before="100" w:after="100"/>
              <w:ind w:left="100" w:right="100"/>
            </w:pPr>
            <w:r>
              <w:rPr>
                <w:rFonts w:ascii="Arial" w:eastAsia="Arial" w:hAnsi="Arial" w:cs="Arial"/>
                <w:color w:val="000000"/>
                <w:sz w:val="18"/>
                <w:szCs w:val="18"/>
              </w:rPr>
              <w:t xml:space="preserve">HIV status </w:t>
            </w:r>
            <w:r>
              <w:rPr>
                <w:rFonts w:ascii="Arial" w:eastAsia="Arial" w:hAnsi="Arial" w:cs="Arial"/>
                <w:color w:val="000000"/>
                <w:sz w:val="18"/>
                <w:szCs w:val="18"/>
              </w:rPr>
              <w:br/>
              <w:t xml:space="preserve"> CSF Glucose </w:t>
            </w:r>
            <w:r>
              <w:rPr>
                <w:rFonts w:ascii="Arial" w:eastAsia="Arial" w:hAnsi="Arial" w:cs="Arial"/>
                <w:color w:val="000000"/>
                <w:sz w:val="18"/>
                <w:szCs w:val="18"/>
              </w:rPr>
              <w:br/>
              <w:t xml:space="preserve"> CSF Lymphocyte count </w:t>
            </w:r>
            <w:r>
              <w:rPr>
                <w:rFonts w:ascii="Arial" w:eastAsia="Arial" w:hAnsi="Arial" w:cs="Arial"/>
                <w:color w:val="000000"/>
                <w:sz w:val="18"/>
                <w:szCs w:val="18"/>
              </w:rPr>
              <w:br/>
              <w:t xml:space="preserve"> CSF Neutrophil count </w:t>
            </w:r>
            <w:r>
              <w:rPr>
                <w:rFonts w:ascii="Arial" w:eastAsia="Arial" w:hAnsi="Arial" w:cs="Arial"/>
                <w:color w:val="000000"/>
                <w:sz w:val="18"/>
                <w:szCs w:val="18"/>
              </w:rPr>
              <w:br/>
              <w:t xml:space="preserve"> CSF Protein </w:t>
            </w:r>
            <w:r>
              <w:rPr>
                <w:rFonts w:ascii="Arial" w:eastAsia="Arial" w:hAnsi="Arial" w:cs="Arial"/>
                <w:color w:val="000000"/>
                <w:sz w:val="18"/>
                <w:szCs w:val="18"/>
              </w:rPr>
              <w:br/>
              <w:t xml:space="preserve"> CSF Lactate</w:t>
            </w:r>
          </w:p>
        </w:tc>
      </w:tr>
      <w:tr w:rsidR="001F2076" w14:paraId="4B6FAE01" w14:textId="77777777">
        <w:trPr>
          <w:cantSplit/>
          <w:jc w:val="center"/>
        </w:trPr>
        <w:tc>
          <w:tcPr>
            <w:tcW w:w="720" w:type="dxa"/>
            <w:shd w:val="clear" w:color="auto" w:fill="FFFFFF"/>
            <w:tcMar>
              <w:top w:w="0" w:type="dxa"/>
              <w:left w:w="0" w:type="dxa"/>
              <w:bottom w:w="0" w:type="dxa"/>
              <w:right w:w="0" w:type="dxa"/>
            </w:tcMar>
            <w:vAlign w:val="center"/>
          </w:tcPr>
          <w:p w14:paraId="573AF0D3" w14:textId="77777777" w:rsidR="001F2076" w:rsidRDefault="007F3B32">
            <w:pPr>
              <w:spacing w:before="100" w:after="100"/>
              <w:ind w:left="100" w:right="100"/>
              <w:jc w:val="right"/>
            </w:pPr>
            <w:r>
              <w:rPr>
                <w:rFonts w:ascii="Arial" w:eastAsia="Arial" w:hAnsi="Arial" w:cs="Arial"/>
                <w:color w:val="000000"/>
                <w:sz w:val="18"/>
                <w:szCs w:val="18"/>
              </w:rPr>
              <w:t>4</w:t>
            </w:r>
          </w:p>
        </w:tc>
        <w:tc>
          <w:tcPr>
            <w:tcW w:w="2592" w:type="dxa"/>
            <w:shd w:val="clear" w:color="auto" w:fill="FFFFFF"/>
            <w:tcMar>
              <w:top w:w="0" w:type="dxa"/>
              <w:left w:w="0" w:type="dxa"/>
              <w:bottom w:w="0" w:type="dxa"/>
              <w:right w:w="0" w:type="dxa"/>
            </w:tcMar>
            <w:vAlign w:val="center"/>
          </w:tcPr>
          <w:p w14:paraId="0B35B741" w14:textId="77777777" w:rsidR="001F2076" w:rsidRDefault="007F3B32">
            <w:pPr>
              <w:spacing w:before="100" w:after="100"/>
              <w:ind w:left="100" w:right="100"/>
            </w:pPr>
            <w:r>
              <w:rPr>
                <w:rFonts w:ascii="Arial" w:eastAsia="Arial" w:hAnsi="Arial" w:cs="Arial"/>
                <w:color w:val="000000"/>
                <w:sz w:val="18"/>
                <w:szCs w:val="18"/>
              </w:rPr>
              <w:t xml:space="preserve">Added technical fluctuation as a second random effect; fixed effects only </w:t>
            </w:r>
            <w:proofErr w:type="gramStart"/>
            <w:r>
              <w:rPr>
                <w:rFonts w:ascii="Arial" w:eastAsia="Arial" w:hAnsi="Arial" w:cs="Arial"/>
                <w:color w:val="000000"/>
                <w:sz w:val="18"/>
                <w:szCs w:val="18"/>
              </w:rPr>
              <w:t>contributes</w:t>
            </w:r>
            <w:proofErr w:type="gramEnd"/>
            <w:r>
              <w:rPr>
                <w:rFonts w:ascii="Arial" w:eastAsia="Arial" w:hAnsi="Arial" w:cs="Arial"/>
                <w:color w:val="000000"/>
                <w:sz w:val="18"/>
                <w:szCs w:val="18"/>
              </w:rPr>
              <w:t xml:space="preserve"> to bacillary burden</w:t>
            </w:r>
          </w:p>
        </w:tc>
        <w:tc>
          <w:tcPr>
            <w:tcW w:w="2592" w:type="dxa"/>
            <w:shd w:val="clear" w:color="auto" w:fill="FFFFFF"/>
            <w:tcMar>
              <w:top w:w="0" w:type="dxa"/>
              <w:left w:w="0" w:type="dxa"/>
              <w:bottom w:w="0" w:type="dxa"/>
              <w:right w:w="0" w:type="dxa"/>
            </w:tcMar>
            <w:vAlign w:val="center"/>
          </w:tcPr>
          <w:p w14:paraId="26C401F8" w14:textId="77777777" w:rsidR="001F2076" w:rsidRDefault="007F3B32">
            <w:pPr>
              <w:spacing w:before="100" w:after="100"/>
              <w:ind w:left="100" w:right="100"/>
            </w:pPr>
            <w:r>
              <w:rPr>
                <w:rFonts w:ascii="Arial" w:eastAsia="Arial" w:hAnsi="Arial" w:cs="Arial"/>
                <w:color w:val="000000"/>
                <w:sz w:val="18"/>
                <w:szCs w:val="18"/>
              </w:rPr>
              <w:t>CSF Neutrophil count</w:t>
            </w:r>
          </w:p>
        </w:tc>
        <w:tc>
          <w:tcPr>
            <w:tcW w:w="2592" w:type="dxa"/>
            <w:shd w:val="clear" w:color="auto" w:fill="FFFFFF"/>
            <w:tcMar>
              <w:top w:w="0" w:type="dxa"/>
              <w:left w:w="0" w:type="dxa"/>
              <w:bottom w:w="0" w:type="dxa"/>
              <w:right w:w="0" w:type="dxa"/>
            </w:tcMar>
            <w:vAlign w:val="center"/>
          </w:tcPr>
          <w:p w14:paraId="488C5A44" w14:textId="77777777" w:rsidR="001F2076" w:rsidRDefault="007F3B32">
            <w:pPr>
              <w:spacing w:before="100" w:after="100"/>
              <w:ind w:left="100" w:right="100"/>
            </w:pPr>
            <w:r>
              <w:rPr>
                <w:rFonts w:ascii="Arial" w:eastAsia="Arial" w:hAnsi="Arial" w:cs="Arial"/>
                <w:color w:val="000000"/>
                <w:sz w:val="18"/>
                <w:szCs w:val="18"/>
              </w:rPr>
              <w:t xml:space="preserve">HIV status </w:t>
            </w:r>
            <w:r>
              <w:rPr>
                <w:rFonts w:ascii="Arial" w:eastAsia="Arial" w:hAnsi="Arial" w:cs="Arial"/>
                <w:color w:val="000000"/>
                <w:sz w:val="18"/>
                <w:szCs w:val="18"/>
              </w:rPr>
              <w:br/>
              <w:t xml:space="preserve"> CSF Glucose </w:t>
            </w:r>
            <w:r>
              <w:rPr>
                <w:rFonts w:ascii="Arial" w:eastAsia="Arial" w:hAnsi="Arial" w:cs="Arial"/>
                <w:color w:val="000000"/>
                <w:sz w:val="18"/>
                <w:szCs w:val="18"/>
              </w:rPr>
              <w:br/>
              <w:t xml:space="preserve"> CSF Lymphocyte count </w:t>
            </w:r>
            <w:r>
              <w:rPr>
                <w:rFonts w:ascii="Arial" w:eastAsia="Arial" w:hAnsi="Arial" w:cs="Arial"/>
                <w:color w:val="000000"/>
                <w:sz w:val="18"/>
                <w:szCs w:val="18"/>
              </w:rPr>
              <w:br/>
              <w:t xml:space="preserve"> CSF Neutrophil count </w:t>
            </w:r>
            <w:r>
              <w:rPr>
                <w:rFonts w:ascii="Arial" w:eastAsia="Arial" w:hAnsi="Arial" w:cs="Arial"/>
                <w:color w:val="000000"/>
                <w:sz w:val="18"/>
                <w:szCs w:val="18"/>
              </w:rPr>
              <w:br/>
              <w:t xml:space="preserve"> CSF Protein </w:t>
            </w:r>
            <w:r>
              <w:rPr>
                <w:rFonts w:ascii="Arial" w:eastAsia="Arial" w:hAnsi="Arial" w:cs="Arial"/>
                <w:color w:val="000000"/>
                <w:sz w:val="18"/>
                <w:szCs w:val="18"/>
              </w:rPr>
              <w:br/>
              <w:t xml:space="preserve"> CSF Lactate</w:t>
            </w:r>
          </w:p>
        </w:tc>
      </w:tr>
      <w:tr w:rsidR="001F2076" w14:paraId="563EE1D6" w14:textId="77777777">
        <w:trPr>
          <w:cantSplit/>
          <w:jc w:val="center"/>
        </w:trPr>
        <w:tc>
          <w:tcPr>
            <w:tcW w:w="720" w:type="dxa"/>
            <w:shd w:val="clear" w:color="auto" w:fill="EFEFEF"/>
            <w:tcMar>
              <w:top w:w="0" w:type="dxa"/>
              <w:left w:w="0" w:type="dxa"/>
              <w:bottom w:w="0" w:type="dxa"/>
              <w:right w:w="0" w:type="dxa"/>
            </w:tcMar>
            <w:vAlign w:val="center"/>
          </w:tcPr>
          <w:p w14:paraId="16734B43" w14:textId="77777777" w:rsidR="001F2076" w:rsidRDefault="007F3B32">
            <w:pPr>
              <w:spacing w:before="100" w:after="100"/>
              <w:ind w:left="100" w:right="100"/>
              <w:jc w:val="right"/>
            </w:pPr>
            <w:r>
              <w:rPr>
                <w:rFonts w:ascii="Arial" w:eastAsia="Arial" w:hAnsi="Arial" w:cs="Arial"/>
                <w:color w:val="000000"/>
                <w:sz w:val="18"/>
                <w:szCs w:val="18"/>
              </w:rPr>
              <w:t>5</w:t>
            </w:r>
          </w:p>
        </w:tc>
        <w:tc>
          <w:tcPr>
            <w:tcW w:w="2592" w:type="dxa"/>
            <w:shd w:val="clear" w:color="auto" w:fill="EFEFEF"/>
            <w:tcMar>
              <w:top w:w="0" w:type="dxa"/>
              <w:left w:w="0" w:type="dxa"/>
              <w:bottom w:w="0" w:type="dxa"/>
              <w:right w:w="0" w:type="dxa"/>
            </w:tcMar>
            <w:vAlign w:val="center"/>
          </w:tcPr>
          <w:p w14:paraId="601AF638" w14:textId="77777777" w:rsidR="001F2076" w:rsidRDefault="007F3B32">
            <w:pPr>
              <w:spacing w:before="100" w:after="100"/>
              <w:ind w:left="100" w:right="100"/>
            </w:pPr>
            <w:r>
              <w:rPr>
                <w:rFonts w:ascii="Arial" w:eastAsia="Arial" w:hAnsi="Arial" w:cs="Arial"/>
                <w:color w:val="000000"/>
                <w:sz w:val="18"/>
                <w:szCs w:val="18"/>
              </w:rPr>
              <w:t>Added fixed effects for technical fluctuation</w:t>
            </w:r>
          </w:p>
        </w:tc>
        <w:tc>
          <w:tcPr>
            <w:tcW w:w="2592" w:type="dxa"/>
            <w:shd w:val="clear" w:color="auto" w:fill="EFEFEF"/>
            <w:tcMar>
              <w:top w:w="0" w:type="dxa"/>
              <w:left w:w="0" w:type="dxa"/>
              <w:bottom w:w="0" w:type="dxa"/>
              <w:right w:w="0" w:type="dxa"/>
            </w:tcMar>
            <w:vAlign w:val="center"/>
          </w:tcPr>
          <w:p w14:paraId="0564BAFB" w14:textId="77777777" w:rsidR="001F2076" w:rsidRDefault="007F3B32">
            <w:pPr>
              <w:spacing w:before="100" w:after="100"/>
              <w:ind w:left="100" w:right="100"/>
            </w:pPr>
            <w:r>
              <w:rPr>
                <w:rFonts w:ascii="Arial" w:eastAsia="Arial" w:hAnsi="Arial" w:cs="Arial"/>
                <w:color w:val="000000"/>
                <w:sz w:val="18"/>
                <w:szCs w:val="18"/>
              </w:rPr>
              <w:t>CSF Neutrophil count</w:t>
            </w:r>
          </w:p>
        </w:tc>
        <w:tc>
          <w:tcPr>
            <w:tcW w:w="2592" w:type="dxa"/>
            <w:shd w:val="clear" w:color="auto" w:fill="EFEFEF"/>
            <w:tcMar>
              <w:top w:w="0" w:type="dxa"/>
              <w:left w:w="0" w:type="dxa"/>
              <w:bottom w:w="0" w:type="dxa"/>
              <w:right w:w="0" w:type="dxa"/>
            </w:tcMar>
            <w:vAlign w:val="center"/>
          </w:tcPr>
          <w:p w14:paraId="0465F399" w14:textId="77777777" w:rsidR="001F2076" w:rsidRDefault="007F3B32">
            <w:pPr>
              <w:spacing w:before="100" w:after="100"/>
              <w:ind w:left="100" w:right="100"/>
            </w:pPr>
            <w:r>
              <w:rPr>
                <w:rFonts w:ascii="Arial" w:eastAsia="Arial" w:hAnsi="Arial" w:cs="Arial"/>
                <w:color w:val="000000"/>
                <w:sz w:val="18"/>
                <w:szCs w:val="18"/>
              </w:rPr>
              <w:t xml:space="preserve">HIV status </w:t>
            </w:r>
            <w:r>
              <w:rPr>
                <w:rFonts w:ascii="Arial" w:eastAsia="Arial" w:hAnsi="Arial" w:cs="Arial"/>
                <w:color w:val="000000"/>
                <w:sz w:val="18"/>
                <w:szCs w:val="18"/>
              </w:rPr>
              <w:br/>
              <w:t xml:space="preserve"> CSF Glucose </w:t>
            </w:r>
            <w:r>
              <w:rPr>
                <w:rFonts w:ascii="Arial" w:eastAsia="Arial" w:hAnsi="Arial" w:cs="Arial"/>
                <w:color w:val="000000"/>
                <w:sz w:val="18"/>
                <w:szCs w:val="18"/>
              </w:rPr>
              <w:br/>
              <w:t xml:space="preserve"> CSF Lymphocyte count </w:t>
            </w:r>
            <w:r>
              <w:rPr>
                <w:rFonts w:ascii="Arial" w:eastAsia="Arial" w:hAnsi="Arial" w:cs="Arial"/>
                <w:color w:val="000000"/>
                <w:sz w:val="18"/>
                <w:szCs w:val="18"/>
              </w:rPr>
              <w:br/>
              <w:t xml:space="preserve"> CSF Neutrophil count </w:t>
            </w:r>
            <w:r>
              <w:rPr>
                <w:rFonts w:ascii="Arial" w:eastAsia="Arial" w:hAnsi="Arial" w:cs="Arial"/>
                <w:color w:val="000000"/>
                <w:sz w:val="18"/>
                <w:szCs w:val="18"/>
              </w:rPr>
              <w:br/>
              <w:t xml:space="preserve"> CSF Protein </w:t>
            </w:r>
            <w:r>
              <w:rPr>
                <w:rFonts w:ascii="Arial" w:eastAsia="Arial" w:hAnsi="Arial" w:cs="Arial"/>
                <w:color w:val="000000"/>
                <w:sz w:val="18"/>
                <w:szCs w:val="18"/>
              </w:rPr>
              <w:br/>
              <w:t xml:space="preserve"> CSF Lactate</w:t>
            </w:r>
          </w:p>
        </w:tc>
      </w:tr>
    </w:tbl>
    <w:p w14:paraId="456AC3DB" w14:textId="77777777" w:rsidR="001F2076" w:rsidRDefault="007F3B32">
      <w:pPr>
        <w:pStyle w:val="Heading3"/>
      </w:pPr>
      <w:bookmarkStart w:id="12" w:name="missing-data-handling"/>
      <w:bookmarkEnd w:id="9"/>
      <w:r>
        <w:t>Missing data handling</w:t>
      </w:r>
    </w:p>
    <w:p w14:paraId="2BE87EBA" w14:textId="77777777" w:rsidR="001F2076" w:rsidRDefault="007F3B32">
      <w:pPr>
        <w:pStyle w:val="Heading4"/>
      </w:pPr>
      <w:bookmarkStart w:id="13" w:name="manifest-variables"/>
      <w:r>
        <w:t>Manifest variables</w:t>
      </w:r>
    </w:p>
    <w:p w14:paraId="11527B11" w14:textId="77777777" w:rsidR="001F2076" w:rsidRDefault="007F3B32">
      <w:pPr>
        <w:pStyle w:val="FirstParagraph"/>
      </w:pPr>
      <w:r>
        <w:t xml:space="preserve">By design, most patients with very high chance of and/or evidently diagnosed with different diseases were not tested with TBM confirmation assays (namely ZN Smear, MGIT, and </w:t>
      </w:r>
      <w:proofErr w:type="spellStart"/>
      <w:r>
        <w:t>Xpert</w:t>
      </w:r>
      <w:proofErr w:type="spellEnd"/>
      <w:r>
        <w:t>), unless there were excessive amount of CSF samples. However, as the tests’ sensitivities were all firmly believed to be almost perfect (</w:t>
      </w:r>
      <w:proofErr w:type="spellStart"/>
      <w:r>
        <w:t>Nhu</w:t>
      </w:r>
      <w:proofErr w:type="spellEnd"/>
      <w:r>
        <w:t xml:space="preserve"> et al. 2013), we assumed that patients who had no TBM confirmation tests are all negative. Apart from one premature death, we have yet to find any patients left un-tested and un-diagnosed.</w:t>
      </w:r>
    </w:p>
    <w:p w14:paraId="2447F852" w14:textId="77777777" w:rsidR="001F2076" w:rsidRDefault="007F3B32">
      <w:pPr>
        <w:pStyle w:val="Heading4"/>
      </w:pPr>
      <w:bookmarkStart w:id="14" w:name="predictors"/>
      <w:bookmarkEnd w:id="13"/>
      <w:r>
        <w:t>Predictors</w:t>
      </w:r>
    </w:p>
    <w:p w14:paraId="780E1DA7" w14:textId="77777777" w:rsidR="001F2076" w:rsidRDefault="007F3B32">
      <w:pPr>
        <w:pStyle w:val="FirstParagraph"/>
      </w:pPr>
      <w:r>
        <w:t xml:space="preserve">In this analysis, missing predictors’ values were assumed to be Missing </w:t>
      </w:r>
      <w:proofErr w:type="gramStart"/>
      <w:r>
        <w:t>At</w:t>
      </w:r>
      <w:proofErr w:type="gramEnd"/>
      <w:r>
        <w:t xml:space="preserve"> Random (MAR) and imputed within sampling </w:t>
      </w:r>
      <w:proofErr w:type="spellStart"/>
      <w:r>
        <w:t>programmes</w:t>
      </w:r>
      <w:proofErr w:type="spellEnd"/>
      <w:r>
        <w:t xml:space="preserve">, together with the main model. Composite predictor variables, such as </w:t>
      </w:r>
      <w:r>
        <w:rPr>
          <w:i/>
          <w:iCs/>
        </w:rPr>
        <w:t>TB-suggested symptoms</w:t>
      </w:r>
      <w:r>
        <w:t xml:space="preserve"> and </w:t>
      </w:r>
      <w:r>
        <w:rPr>
          <w:i/>
          <w:iCs/>
        </w:rPr>
        <w:t>Glasgow Coma Score (GCS)</w:t>
      </w:r>
      <w:r>
        <w:t xml:space="preserve"> were imputed by compartments; while potentially correlated variables were grouped and imputed together. Due to Stan not supporting Multivariate Logistic Regression, in </w:t>
      </w:r>
      <w:proofErr w:type="spellStart"/>
      <w:r>
        <w:t>favour</w:t>
      </w:r>
      <w:proofErr w:type="spellEnd"/>
      <w:r>
        <w:t xml:space="preserve"> of method consistency, all binary predictors were imputed using (Multivariate) </w:t>
      </w:r>
      <w:proofErr w:type="spellStart"/>
      <w:r>
        <w:t>Probit</w:t>
      </w:r>
      <w:proofErr w:type="spellEnd"/>
      <w:r>
        <w:t xml:space="preserve"> models. Continuous variables are imputed using Multivariate Linear Regression. HIV status was included in most imputation model as predictors.</w:t>
      </w:r>
    </w:p>
    <w:p w14:paraId="509494E4" w14:textId="77777777" w:rsidR="001F2076" w:rsidRDefault="007F3B32">
      <w:pPr>
        <w:pStyle w:val="BodyText"/>
      </w:pPr>
      <w:r>
        <w:lastRenderedPageBreak/>
        <w:t xml:space="preserve">As HIV tests were not mandatory in the main study, their chance of missingness were mostly dependent on </w:t>
      </w:r>
      <w:proofErr w:type="gramStart"/>
      <w:r>
        <w:t>whether or not</w:t>
      </w:r>
      <w:proofErr w:type="gramEnd"/>
      <w:r>
        <w:t xml:space="preserve"> they were to </w:t>
      </w:r>
      <w:proofErr w:type="spellStart"/>
      <w:r>
        <w:t>enrol</w:t>
      </w:r>
      <w:proofErr w:type="spellEnd"/>
      <w:r>
        <w:t xml:space="preserve"> in a TBM study. Hence, it is safely to assume that HIV status are Missing at Random (MAR). Accordingly, we imputed HIV using </w:t>
      </w:r>
      <w:proofErr w:type="spellStart"/>
      <w:r>
        <w:t>probit</w:t>
      </w:r>
      <w:proofErr w:type="spellEnd"/>
      <w:r>
        <w:t xml:space="preserve"> regression, corrected for Blood Lymphocyte and Neutrophil counts.</w:t>
      </w:r>
    </w:p>
    <w:p w14:paraId="6F20C72B" w14:textId="77777777" w:rsidR="001F2076" w:rsidRDefault="007F3B32">
      <w:pPr>
        <w:pStyle w:val="TableCaption"/>
      </w:pPr>
      <w:r>
        <w:t>Rationale and method of missing values handling</w:t>
      </w:r>
    </w:p>
    <w:tbl>
      <w:tblPr>
        <w:tblW w:w="0" w:type="auto"/>
        <w:jc w:val="center"/>
        <w:tblLayout w:type="fixed"/>
        <w:tblLook w:val="0420" w:firstRow="1" w:lastRow="0" w:firstColumn="0" w:lastColumn="0" w:noHBand="0" w:noVBand="1"/>
      </w:tblPr>
      <w:tblGrid>
        <w:gridCol w:w="1800"/>
        <w:gridCol w:w="1800"/>
        <w:gridCol w:w="1800"/>
        <w:gridCol w:w="1800"/>
        <w:gridCol w:w="1800"/>
      </w:tblGrid>
      <w:tr w:rsidR="001F2076" w14:paraId="1D8B3C99" w14:textId="77777777">
        <w:trPr>
          <w:cantSplit/>
          <w:tblHeader/>
          <w:jc w:val="center"/>
        </w:trPr>
        <w:tc>
          <w:tcPr>
            <w:tcW w:w="1800" w:type="dxa"/>
            <w:shd w:val="clear" w:color="auto" w:fill="CFCFCF"/>
            <w:tcMar>
              <w:top w:w="0" w:type="dxa"/>
              <w:left w:w="0" w:type="dxa"/>
              <w:bottom w:w="0" w:type="dxa"/>
              <w:right w:w="0" w:type="dxa"/>
            </w:tcMar>
            <w:vAlign w:val="center"/>
          </w:tcPr>
          <w:p w14:paraId="57859C61" w14:textId="77777777" w:rsidR="001F2076" w:rsidRDefault="007F3B32">
            <w:pPr>
              <w:spacing w:before="100" w:after="100"/>
              <w:ind w:left="100" w:right="100"/>
            </w:pPr>
            <w:r>
              <w:rPr>
                <w:rFonts w:ascii="Arial" w:eastAsia="Arial" w:hAnsi="Arial" w:cs="Arial"/>
                <w:b/>
                <w:color w:val="000000"/>
                <w:sz w:val="18"/>
                <w:szCs w:val="18"/>
              </w:rPr>
              <w:t>Variable</w:t>
            </w:r>
          </w:p>
        </w:tc>
        <w:tc>
          <w:tcPr>
            <w:tcW w:w="1800" w:type="dxa"/>
            <w:shd w:val="clear" w:color="auto" w:fill="CFCFCF"/>
            <w:tcMar>
              <w:top w:w="0" w:type="dxa"/>
              <w:left w:w="0" w:type="dxa"/>
              <w:bottom w:w="0" w:type="dxa"/>
              <w:right w:w="0" w:type="dxa"/>
            </w:tcMar>
            <w:vAlign w:val="center"/>
          </w:tcPr>
          <w:p w14:paraId="3BCD1479" w14:textId="77777777" w:rsidR="001F2076" w:rsidRDefault="007F3B32">
            <w:pPr>
              <w:spacing w:before="100" w:after="100"/>
              <w:ind w:left="100" w:right="100"/>
              <w:jc w:val="right"/>
            </w:pPr>
            <w:r>
              <w:rPr>
                <w:rFonts w:ascii="Arial" w:eastAsia="Arial" w:hAnsi="Arial" w:cs="Arial"/>
                <w:b/>
                <w:color w:val="000000"/>
                <w:sz w:val="18"/>
                <w:szCs w:val="18"/>
              </w:rPr>
              <w:t>N</w:t>
            </w:r>
            <w:r>
              <w:rPr>
                <w:rFonts w:ascii="Arial" w:eastAsia="Arial" w:hAnsi="Arial" w:cs="Arial"/>
                <w:b/>
                <w:color w:val="000000"/>
                <w:sz w:val="18"/>
                <w:szCs w:val="18"/>
              </w:rPr>
              <w:br/>
              <w:t xml:space="preserve"> missing</w:t>
            </w:r>
          </w:p>
        </w:tc>
        <w:tc>
          <w:tcPr>
            <w:tcW w:w="1800" w:type="dxa"/>
            <w:shd w:val="clear" w:color="auto" w:fill="CFCFCF"/>
            <w:tcMar>
              <w:top w:w="0" w:type="dxa"/>
              <w:left w:w="0" w:type="dxa"/>
              <w:bottom w:w="0" w:type="dxa"/>
              <w:right w:w="0" w:type="dxa"/>
            </w:tcMar>
            <w:vAlign w:val="center"/>
          </w:tcPr>
          <w:p w14:paraId="45973AA0" w14:textId="77777777" w:rsidR="001F2076" w:rsidRDefault="007F3B32">
            <w:pPr>
              <w:spacing w:before="100" w:after="100"/>
              <w:ind w:left="100" w:right="100"/>
            </w:pPr>
            <w:r>
              <w:rPr>
                <w:rFonts w:ascii="Arial" w:eastAsia="Arial" w:hAnsi="Arial" w:cs="Arial"/>
                <w:b/>
                <w:color w:val="000000"/>
                <w:sz w:val="18"/>
                <w:szCs w:val="18"/>
              </w:rPr>
              <w:t>Expected Reason of Missingness</w:t>
            </w:r>
          </w:p>
        </w:tc>
        <w:tc>
          <w:tcPr>
            <w:tcW w:w="1800" w:type="dxa"/>
            <w:shd w:val="clear" w:color="auto" w:fill="CFCFCF"/>
            <w:tcMar>
              <w:top w:w="0" w:type="dxa"/>
              <w:left w:w="0" w:type="dxa"/>
              <w:bottom w:w="0" w:type="dxa"/>
              <w:right w:w="0" w:type="dxa"/>
            </w:tcMar>
            <w:vAlign w:val="center"/>
          </w:tcPr>
          <w:p w14:paraId="55B0EFB4" w14:textId="77777777" w:rsidR="001F2076" w:rsidRDefault="007F3B32">
            <w:pPr>
              <w:spacing w:before="100" w:after="100"/>
              <w:ind w:left="100" w:right="100"/>
            </w:pPr>
            <w:r>
              <w:rPr>
                <w:rFonts w:ascii="Arial" w:eastAsia="Arial" w:hAnsi="Arial" w:cs="Arial"/>
                <w:b/>
                <w:color w:val="000000"/>
                <w:sz w:val="18"/>
                <w:szCs w:val="18"/>
              </w:rPr>
              <w:t>Mechanism</w:t>
            </w:r>
          </w:p>
        </w:tc>
        <w:tc>
          <w:tcPr>
            <w:tcW w:w="1800" w:type="dxa"/>
            <w:shd w:val="clear" w:color="auto" w:fill="CFCFCF"/>
            <w:tcMar>
              <w:top w:w="0" w:type="dxa"/>
              <w:left w:w="0" w:type="dxa"/>
              <w:bottom w:w="0" w:type="dxa"/>
              <w:right w:w="0" w:type="dxa"/>
            </w:tcMar>
            <w:vAlign w:val="center"/>
          </w:tcPr>
          <w:p w14:paraId="7FE8B596" w14:textId="77777777" w:rsidR="001F2076" w:rsidRDefault="007F3B32">
            <w:pPr>
              <w:spacing w:before="100" w:after="100"/>
              <w:ind w:left="100" w:right="100"/>
            </w:pPr>
            <w:r>
              <w:rPr>
                <w:rFonts w:ascii="Arial" w:eastAsia="Arial" w:hAnsi="Arial" w:cs="Arial"/>
                <w:b/>
                <w:color w:val="000000"/>
                <w:sz w:val="18"/>
                <w:szCs w:val="18"/>
              </w:rPr>
              <w:t>Handling method</w:t>
            </w:r>
          </w:p>
        </w:tc>
      </w:tr>
      <w:tr w:rsidR="001F2076" w14:paraId="338D373F" w14:textId="77777777">
        <w:trPr>
          <w:cantSplit/>
          <w:jc w:val="center"/>
        </w:trPr>
        <w:tc>
          <w:tcPr>
            <w:tcW w:w="1800" w:type="dxa"/>
            <w:shd w:val="clear" w:color="auto" w:fill="EFEFEF"/>
            <w:tcMar>
              <w:top w:w="0" w:type="dxa"/>
              <w:left w:w="0" w:type="dxa"/>
              <w:bottom w:w="0" w:type="dxa"/>
              <w:right w:w="0" w:type="dxa"/>
            </w:tcMar>
            <w:vAlign w:val="center"/>
          </w:tcPr>
          <w:p w14:paraId="01A06BDD" w14:textId="77777777" w:rsidR="001F2076" w:rsidRDefault="007F3B32">
            <w:pPr>
              <w:spacing w:before="100" w:after="100"/>
              <w:ind w:left="100" w:right="100"/>
            </w:pPr>
            <w:r>
              <w:rPr>
                <w:rFonts w:ascii="Arial" w:eastAsia="Arial" w:hAnsi="Arial" w:cs="Arial"/>
                <w:color w:val="000000"/>
                <w:sz w:val="18"/>
                <w:szCs w:val="18"/>
              </w:rPr>
              <w:t>ZN Smear</w:t>
            </w:r>
          </w:p>
        </w:tc>
        <w:tc>
          <w:tcPr>
            <w:tcW w:w="1800" w:type="dxa"/>
            <w:shd w:val="clear" w:color="auto" w:fill="EFEFEF"/>
            <w:tcMar>
              <w:top w:w="0" w:type="dxa"/>
              <w:left w:w="0" w:type="dxa"/>
              <w:bottom w:w="0" w:type="dxa"/>
              <w:right w:w="0" w:type="dxa"/>
            </w:tcMar>
            <w:vAlign w:val="center"/>
          </w:tcPr>
          <w:p w14:paraId="0256AC32" w14:textId="77777777" w:rsidR="001F2076" w:rsidRDefault="007F3B32">
            <w:pPr>
              <w:spacing w:before="100" w:after="100"/>
              <w:ind w:left="100" w:right="100"/>
              <w:jc w:val="right"/>
            </w:pPr>
            <w:r>
              <w:rPr>
                <w:rFonts w:ascii="Arial" w:eastAsia="Arial" w:hAnsi="Arial" w:cs="Arial"/>
                <w:color w:val="000000"/>
                <w:sz w:val="18"/>
                <w:szCs w:val="18"/>
              </w:rPr>
              <w:t>311</w:t>
            </w:r>
          </w:p>
        </w:tc>
        <w:tc>
          <w:tcPr>
            <w:tcW w:w="1800" w:type="dxa"/>
            <w:shd w:val="clear" w:color="auto" w:fill="EFEFEF"/>
            <w:tcMar>
              <w:top w:w="0" w:type="dxa"/>
              <w:left w:w="0" w:type="dxa"/>
              <w:bottom w:w="0" w:type="dxa"/>
              <w:right w:w="0" w:type="dxa"/>
            </w:tcMar>
            <w:vAlign w:val="center"/>
          </w:tcPr>
          <w:p w14:paraId="5218A267" w14:textId="77777777" w:rsidR="001F2076" w:rsidRDefault="007F3B32">
            <w:pPr>
              <w:spacing w:before="100" w:after="100"/>
              <w:ind w:left="100" w:right="100"/>
            </w:pPr>
            <w:r>
              <w:rPr>
                <w:rFonts w:ascii="Arial" w:eastAsia="Arial" w:hAnsi="Arial" w:cs="Arial"/>
                <w:color w:val="000000"/>
                <w:sz w:val="18"/>
                <w:szCs w:val="18"/>
              </w:rPr>
              <w:t>Not suspected TBM</w:t>
            </w:r>
          </w:p>
        </w:tc>
        <w:tc>
          <w:tcPr>
            <w:tcW w:w="1800" w:type="dxa"/>
            <w:shd w:val="clear" w:color="auto" w:fill="EFEFEF"/>
            <w:tcMar>
              <w:top w:w="0" w:type="dxa"/>
              <w:left w:w="0" w:type="dxa"/>
              <w:bottom w:w="0" w:type="dxa"/>
              <w:right w:w="0" w:type="dxa"/>
            </w:tcMar>
            <w:vAlign w:val="center"/>
          </w:tcPr>
          <w:p w14:paraId="161B1D27" w14:textId="77777777" w:rsidR="001F2076" w:rsidRDefault="007F3B32">
            <w:pPr>
              <w:spacing w:before="100" w:after="100"/>
              <w:ind w:left="100" w:right="100"/>
            </w:pPr>
            <w:r>
              <w:rPr>
                <w:rFonts w:ascii="Arial" w:eastAsia="Arial" w:hAnsi="Arial" w:cs="Arial"/>
                <w:color w:val="000000"/>
                <w:sz w:val="18"/>
                <w:szCs w:val="18"/>
              </w:rPr>
              <w:t>MNAR</w:t>
            </w:r>
          </w:p>
        </w:tc>
        <w:tc>
          <w:tcPr>
            <w:tcW w:w="1800" w:type="dxa"/>
            <w:shd w:val="clear" w:color="auto" w:fill="EFEFEF"/>
            <w:tcMar>
              <w:top w:w="0" w:type="dxa"/>
              <w:left w:w="0" w:type="dxa"/>
              <w:bottom w:w="0" w:type="dxa"/>
              <w:right w:w="0" w:type="dxa"/>
            </w:tcMar>
            <w:vAlign w:val="center"/>
          </w:tcPr>
          <w:p w14:paraId="293A103A" w14:textId="77777777" w:rsidR="001F2076" w:rsidRDefault="007F3B32">
            <w:pPr>
              <w:spacing w:before="100" w:after="100"/>
              <w:ind w:left="100" w:right="100"/>
            </w:pPr>
            <w:r>
              <w:rPr>
                <w:rFonts w:ascii="Arial" w:eastAsia="Arial" w:hAnsi="Arial" w:cs="Arial"/>
                <w:color w:val="000000"/>
                <w:sz w:val="18"/>
                <w:szCs w:val="18"/>
              </w:rPr>
              <w:t>Set = 0</w:t>
            </w:r>
          </w:p>
        </w:tc>
      </w:tr>
      <w:tr w:rsidR="001F2076" w14:paraId="1E6867DA" w14:textId="77777777">
        <w:trPr>
          <w:cantSplit/>
          <w:jc w:val="center"/>
        </w:trPr>
        <w:tc>
          <w:tcPr>
            <w:tcW w:w="1800" w:type="dxa"/>
            <w:shd w:val="clear" w:color="auto" w:fill="FFFFFF"/>
            <w:tcMar>
              <w:top w:w="0" w:type="dxa"/>
              <w:left w:w="0" w:type="dxa"/>
              <w:bottom w:w="0" w:type="dxa"/>
              <w:right w:w="0" w:type="dxa"/>
            </w:tcMar>
            <w:vAlign w:val="center"/>
          </w:tcPr>
          <w:p w14:paraId="4B8D2BE0" w14:textId="77777777" w:rsidR="001F2076" w:rsidRDefault="007F3B32">
            <w:pPr>
              <w:spacing w:before="100" w:after="100"/>
              <w:ind w:left="100" w:right="100"/>
            </w:pPr>
            <w:r>
              <w:rPr>
                <w:rFonts w:ascii="Arial" w:eastAsia="Arial" w:hAnsi="Arial" w:cs="Arial"/>
                <w:color w:val="000000"/>
                <w:sz w:val="18"/>
                <w:szCs w:val="18"/>
              </w:rPr>
              <w:t>MGIT</w:t>
            </w:r>
          </w:p>
        </w:tc>
        <w:tc>
          <w:tcPr>
            <w:tcW w:w="1800" w:type="dxa"/>
            <w:shd w:val="clear" w:color="auto" w:fill="FFFFFF"/>
            <w:tcMar>
              <w:top w:w="0" w:type="dxa"/>
              <w:left w:w="0" w:type="dxa"/>
              <w:bottom w:w="0" w:type="dxa"/>
              <w:right w:w="0" w:type="dxa"/>
            </w:tcMar>
            <w:vAlign w:val="center"/>
          </w:tcPr>
          <w:p w14:paraId="01D90EDD" w14:textId="77777777" w:rsidR="001F2076" w:rsidRDefault="007F3B32">
            <w:pPr>
              <w:spacing w:before="100" w:after="100"/>
              <w:ind w:left="100" w:right="100"/>
              <w:jc w:val="right"/>
            </w:pPr>
            <w:r>
              <w:rPr>
                <w:rFonts w:ascii="Arial" w:eastAsia="Arial" w:hAnsi="Arial" w:cs="Arial"/>
                <w:color w:val="000000"/>
                <w:sz w:val="18"/>
                <w:szCs w:val="18"/>
              </w:rPr>
              <w:t>314</w:t>
            </w:r>
          </w:p>
        </w:tc>
        <w:tc>
          <w:tcPr>
            <w:tcW w:w="1800" w:type="dxa"/>
            <w:shd w:val="clear" w:color="auto" w:fill="FFFFFF"/>
            <w:tcMar>
              <w:top w:w="0" w:type="dxa"/>
              <w:left w:w="0" w:type="dxa"/>
              <w:bottom w:w="0" w:type="dxa"/>
              <w:right w:w="0" w:type="dxa"/>
            </w:tcMar>
            <w:vAlign w:val="center"/>
          </w:tcPr>
          <w:p w14:paraId="7F1BE9A1" w14:textId="77777777" w:rsidR="001F2076" w:rsidRDefault="007F3B32">
            <w:pPr>
              <w:spacing w:before="100" w:after="100"/>
              <w:ind w:left="100" w:right="100"/>
            </w:pPr>
            <w:r>
              <w:rPr>
                <w:rFonts w:ascii="Arial" w:eastAsia="Arial" w:hAnsi="Arial" w:cs="Arial"/>
                <w:color w:val="000000"/>
                <w:sz w:val="18"/>
                <w:szCs w:val="18"/>
              </w:rPr>
              <w:t>Not suspected TBM</w:t>
            </w:r>
          </w:p>
        </w:tc>
        <w:tc>
          <w:tcPr>
            <w:tcW w:w="1800" w:type="dxa"/>
            <w:shd w:val="clear" w:color="auto" w:fill="FFFFFF"/>
            <w:tcMar>
              <w:top w:w="0" w:type="dxa"/>
              <w:left w:w="0" w:type="dxa"/>
              <w:bottom w:w="0" w:type="dxa"/>
              <w:right w:w="0" w:type="dxa"/>
            </w:tcMar>
            <w:vAlign w:val="center"/>
          </w:tcPr>
          <w:p w14:paraId="6CDED247" w14:textId="77777777" w:rsidR="001F2076" w:rsidRDefault="007F3B32">
            <w:pPr>
              <w:spacing w:before="100" w:after="100"/>
              <w:ind w:left="100" w:right="100"/>
            </w:pPr>
            <w:r>
              <w:rPr>
                <w:rFonts w:ascii="Arial" w:eastAsia="Arial" w:hAnsi="Arial" w:cs="Arial"/>
                <w:color w:val="000000"/>
                <w:sz w:val="18"/>
                <w:szCs w:val="18"/>
              </w:rPr>
              <w:t>MNAR</w:t>
            </w:r>
          </w:p>
        </w:tc>
        <w:tc>
          <w:tcPr>
            <w:tcW w:w="1800" w:type="dxa"/>
            <w:shd w:val="clear" w:color="auto" w:fill="FFFFFF"/>
            <w:tcMar>
              <w:top w:w="0" w:type="dxa"/>
              <w:left w:w="0" w:type="dxa"/>
              <w:bottom w:w="0" w:type="dxa"/>
              <w:right w:w="0" w:type="dxa"/>
            </w:tcMar>
            <w:vAlign w:val="center"/>
          </w:tcPr>
          <w:p w14:paraId="3B35EA40" w14:textId="77777777" w:rsidR="001F2076" w:rsidRDefault="007F3B32">
            <w:pPr>
              <w:spacing w:before="100" w:after="100"/>
              <w:ind w:left="100" w:right="100"/>
            </w:pPr>
            <w:r>
              <w:rPr>
                <w:rFonts w:ascii="Arial" w:eastAsia="Arial" w:hAnsi="Arial" w:cs="Arial"/>
                <w:color w:val="000000"/>
                <w:sz w:val="18"/>
                <w:szCs w:val="18"/>
              </w:rPr>
              <w:t>Set = 0</w:t>
            </w:r>
          </w:p>
        </w:tc>
      </w:tr>
      <w:tr w:rsidR="001F2076" w14:paraId="02535E54" w14:textId="77777777">
        <w:trPr>
          <w:cantSplit/>
          <w:jc w:val="center"/>
        </w:trPr>
        <w:tc>
          <w:tcPr>
            <w:tcW w:w="1800" w:type="dxa"/>
            <w:shd w:val="clear" w:color="auto" w:fill="EFEFEF"/>
            <w:tcMar>
              <w:top w:w="0" w:type="dxa"/>
              <w:left w:w="0" w:type="dxa"/>
              <w:bottom w:w="0" w:type="dxa"/>
              <w:right w:w="0" w:type="dxa"/>
            </w:tcMar>
            <w:vAlign w:val="center"/>
          </w:tcPr>
          <w:p w14:paraId="2664DE6E" w14:textId="77777777" w:rsidR="001F2076" w:rsidRDefault="007F3B32">
            <w:pPr>
              <w:spacing w:before="100" w:after="100"/>
              <w:ind w:left="100" w:right="100"/>
            </w:pPr>
            <w:proofErr w:type="spellStart"/>
            <w:r>
              <w:rPr>
                <w:rFonts w:ascii="Arial" w:eastAsia="Arial" w:hAnsi="Arial" w:cs="Arial"/>
                <w:color w:val="000000"/>
                <w:sz w:val="18"/>
                <w:szCs w:val="18"/>
              </w:rPr>
              <w:t>Xpert</w:t>
            </w:r>
            <w:proofErr w:type="spellEnd"/>
          </w:p>
        </w:tc>
        <w:tc>
          <w:tcPr>
            <w:tcW w:w="1800" w:type="dxa"/>
            <w:shd w:val="clear" w:color="auto" w:fill="EFEFEF"/>
            <w:tcMar>
              <w:top w:w="0" w:type="dxa"/>
              <w:left w:w="0" w:type="dxa"/>
              <w:bottom w:w="0" w:type="dxa"/>
              <w:right w:w="0" w:type="dxa"/>
            </w:tcMar>
            <w:vAlign w:val="center"/>
          </w:tcPr>
          <w:p w14:paraId="06B5D956" w14:textId="77777777" w:rsidR="001F2076" w:rsidRDefault="007F3B32">
            <w:pPr>
              <w:spacing w:before="100" w:after="100"/>
              <w:ind w:left="100" w:right="100"/>
              <w:jc w:val="right"/>
            </w:pPr>
            <w:r>
              <w:rPr>
                <w:rFonts w:ascii="Arial" w:eastAsia="Arial" w:hAnsi="Arial" w:cs="Arial"/>
                <w:color w:val="000000"/>
                <w:sz w:val="18"/>
                <w:szCs w:val="18"/>
              </w:rPr>
              <w:t>305</w:t>
            </w:r>
          </w:p>
        </w:tc>
        <w:tc>
          <w:tcPr>
            <w:tcW w:w="1800" w:type="dxa"/>
            <w:shd w:val="clear" w:color="auto" w:fill="EFEFEF"/>
            <w:tcMar>
              <w:top w:w="0" w:type="dxa"/>
              <w:left w:w="0" w:type="dxa"/>
              <w:bottom w:w="0" w:type="dxa"/>
              <w:right w:w="0" w:type="dxa"/>
            </w:tcMar>
            <w:vAlign w:val="center"/>
          </w:tcPr>
          <w:p w14:paraId="095F74A3" w14:textId="77777777" w:rsidR="001F2076" w:rsidRDefault="007F3B32">
            <w:pPr>
              <w:spacing w:before="100" w:after="100"/>
              <w:ind w:left="100" w:right="100"/>
            </w:pPr>
            <w:r>
              <w:rPr>
                <w:rFonts w:ascii="Arial" w:eastAsia="Arial" w:hAnsi="Arial" w:cs="Arial"/>
                <w:color w:val="000000"/>
                <w:sz w:val="18"/>
                <w:szCs w:val="18"/>
              </w:rPr>
              <w:t>Not suspected TBM</w:t>
            </w:r>
          </w:p>
        </w:tc>
        <w:tc>
          <w:tcPr>
            <w:tcW w:w="1800" w:type="dxa"/>
            <w:shd w:val="clear" w:color="auto" w:fill="EFEFEF"/>
            <w:tcMar>
              <w:top w:w="0" w:type="dxa"/>
              <w:left w:w="0" w:type="dxa"/>
              <w:bottom w:w="0" w:type="dxa"/>
              <w:right w:w="0" w:type="dxa"/>
            </w:tcMar>
            <w:vAlign w:val="center"/>
          </w:tcPr>
          <w:p w14:paraId="2E0A5421" w14:textId="77777777" w:rsidR="001F2076" w:rsidRDefault="007F3B32">
            <w:pPr>
              <w:spacing w:before="100" w:after="100"/>
              <w:ind w:left="100" w:right="100"/>
            </w:pPr>
            <w:r>
              <w:rPr>
                <w:rFonts w:ascii="Arial" w:eastAsia="Arial" w:hAnsi="Arial" w:cs="Arial"/>
                <w:color w:val="000000"/>
                <w:sz w:val="18"/>
                <w:szCs w:val="18"/>
              </w:rPr>
              <w:t>MNAR</w:t>
            </w:r>
          </w:p>
        </w:tc>
        <w:tc>
          <w:tcPr>
            <w:tcW w:w="1800" w:type="dxa"/>
            <w:shd w:val="clear" w:color="auto" w:fill="EFEFEF"/>
            <w:tcMar>
              <w:top w:w="0" w:type="dxa"/>
              <w:left w:w="0" w:type="dxa"/>
              <w:bottom w:w="0" w:type="dxa"/>
              <w:right w:w="0" w:type="dxa"/>
            </w:tcMar>
            <w:vAlign w:val="center"/>
          </w:tcPr>
          <w:p w14:paraId="5D4A3154" w14:textId="77777777" w:rsidR="001F2076" w:rsidRDefault="007F3B32">
            <w:pPr>
              <w:spacing w:before="100" w:after="100"/>
              <w:ind w:left="100" w:right="100"/>
            </w:pPr>
            <w:r>
              <w:rPr>
                <w:rFonts w:ascii="Arial" w:eastAsia="Arial" w:hAnsi="Arial" w:cs="Arial"/>
                <w:color w:val="000000"/>
                <w:sz w:val="18"/>
                <w:szCs w:val="18"/>
              </w:rPr>
              <w:t>Set = 0</w:t>
            </w:r>
          </w:p>
        </w:tc>
      </w:tr>
      <w:tr w:rsidR="001F2076" w14:paraId="6C492815" w14:textId="77777777">
        <w:trPr>
          <w:cantSplit/>
          <w:jc w:val="center"/>
        </w:trPr>
        <w:tc>
          <w:tcPr>
            <w:tcW w:w="1800" w:type="dxa"/>
            <w:shd w:val="clear" w:color="auto" w:fill="FFFFFF"/>
            <w:tcMar>
              <w:top w:w="0" w:type="dxa"/>
              <w:left w:w="0" w:type="dxa"/>
              <w:bottom w:w="0" w:type="dxa"/>
              <w:right w:w="0" w:type="dxa"/>
            </w:tcMar>
            <w:vAlign w:val="center"/>
          </w:tcPr>
          <w:p w14:paraId="535664D4" w14:textId="77777777" w:rsidR="001F2076" w:rsidRDefault="007F3B32">
            <w:pPr>
              <w:spacing w:before="100" w:after="100"/>
              <w:ind w:left="100" w:right="100"/>
            </w:pPr>
            <w:r>
              <w:rPr>
                <w:rFonts w:ascii="Arial" w:eastAsia="Arial" w:hAnsi="Arial" w:cs="Arial"/>
                <w:color w:val="000000"/>
                <w:sz w:val="18"/>
                <w:szCs w:val="18"/>
              </w:rPr>
              <w:t>HIV Status</w:t>
            </w:r>
          </w:p>
        </w:tc>
        <w:tc>
          <w:tcPr>
            <w:tcW w:w="1800" w:type="dxa"/>
            <w:shd w:val="clear" w:color="auto" w:fill="FFFFFF"/>
            <w:tcMar>
              <w:top w:w="0" w:type="dxa"/>
              <w:left w:w="0" w:type="dxa"/>
              <w:bottom w:w="0" w:type="dxa"/>
              <w:right w:w="0" w:type="dxa"/>
            </w:tcMar>
            <w:vAlign w:val="center"/>
          </w:tcPr>
          <w:p w14:paraId="3466E838" w14:textId="77777777" w:rsidR="001F2076" w:rsidRDefault="007F3B32">
            <w:pPr>
              <w:spacing w:before="100" w:after="100"/>
              <w:ind w:left="100" w:right="100"/>
              <w:jc w:val="right"/>
            </w:pPr>
            <w:r>
              <w:rPr>
                <w:rFonts w:ascii="Arial" w:eastAsia="Arial" w:hAnsi="Arial" w:cs="Arial"/>
                <w:color w:val="000000"/>
                <w:sz w:val="18"/>
                <w:szCs w:val="18"/>
              </w:rPr>
              <w:t>215</w:t>
            </w:r>
          </w:p>
        </w:tc>
        <w:tc>
          <w:tcPr>
            <w:tcW w:w="1800" w:type="dxa"/>
            <w:shd w:val="clear" w:color="auto" w:fill="FFFFFF"/>
            <w:tcMar>
              <w:top w:w="0" w:type="dxa"/>
              <w:left w:w="0" w:type="dxa"/>
              <w:bottom w:w="0" w:type="dxa"/>
              <w:right w:w="0" w:type="dxa"/>
            </w:tcMar>
            <w:vAlign w:val="center"/>
          </w:tcPr>
          <w:p w14:paraId="6AE77698" w14:textId="77777777" w:rsidR="001F2076" w:rsidRDefault="007F3B32">
            <w:pPr>
              <w:spacing w:before="100" w:after="100"/>
              <w:ind w:left="100" w:right="100"/>
            </w:pPr>
            <w:r>
              <w:rPr>
                <w:rFonts w:ascii="Arial" w:eastAsia="Arial" w:hAnsi="Arial" w:cs="Arial"/>
                <w:color w:val="000000"/>
                <w:sz w:val="18"/>
                <w:szCs w:val="18"/>
              </w:rPr>
              <w:t>Test not mandatory</w:t>
            </w:r>
          </w:p>
        </w:tc>
        <w:tc>
          <w:tcPr>
            <w:tcW w:w="1800" w:type="dxa"/>
            <w:shd w:val="clear" w:color="auto" w:fill="FFFFFF"/>
            <w:tcMar>
              <w:top w:w="0" w:type="dxa"/>
              <w:left w:w="0" w:type="dxa"/>
              <w:bottom w:w="0" w:type="dxa"/>
              <w:right w:w="0" w:type="dxa"/>
            </w:tcMar>
            <w:vAlign w:val="center"/>
          </w:tcPr>
          <w:p w14:paraId="4CBDA5A5" w14:textId="77777777" w:rsidR="001F2076" w:rsidRDefault="007F3B32">
            <w:pPr>
              <w:spacing w:before="100" w:after="100"/>
              <w:ind w:left="100" w:right="100"/>
            </w:pPr>
            <w:r>
              <w:rPr>
                <w:rFonts w:ascii="Arial" w:eastAsia="Arial" w:hAnsi="Arial" w:cs="Arial"/>
                <w:color w:val="000000"/>
                <w:sz w:val="18"/>
                <w:szCs w:val="18"/>
              </w:rPr>
              <w:t>MAR/MCAR</w:t>
            </w:r>
          </w:p>
        </w:tc>
        <w:tc>
          <w:tcPr>
            <w:tcW w:w="1800" w:type="dxa"/>
            <w:shd w:val="clear" w:color="auto" w:fill="FFFFFF"/>
            <w:tcMar>
              <w:top w:w="0" w:type="dxa"/>
              <w:left w:w="0" w:type="dxa"/>
              <w:bottom w:w="0" w:type="dxa"/>
              <w:right w:w="0" w:type="dxa"/>
            </w:tcMar>
            <w:vAlign w:val="center"/>
          </w:tcPr>
          <w:p w14:paraId="228891AC"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3148AFD4" w14:textId="77777777">
        <w:trPr>
          <w:cantSplit/>
          <w:jc w:val="center"/>
        </w:trPr>
        <w:tc>
          <w:tcPr>
            <w:tcW w:w="1800" w:type="dxa"/>
            <w:shd w:val="clear" w:color="auto" w:fill="EFEFEF"/>
            <w:tcMar>
              <w:top w:w="0" w:type="dxa"/>
              <w:left w:w="0" w:type="dxa"/>
              <w:bottom w:w="0" w:type="dxa"/>
              <w:right w:w="0" w:type="dxa"/>
            </w:tcMar>
            <w:vAlign w:val="center"/>
          </w:tcPr>
          <w:p w14:paraId="4D939B19" w14:textId="77777777" w:rsidR="001F2076" w:rsidRDefault="007F3B32">
            <w:pPr>
              <w:spacing w:before="100" w:after="100"/>
              <w:ind w:left="100" w:right="100"/>
            </w:pPr>
            <w:r>
              <w:rPr>
                <w:rFonts w:ascii="Arial" w:eastAsia="Arial" w:hAnsi="Arial" w:cs="Arial"/>
                <w:color w:val="000000"/>
                <w:sz w:val="18"/>
                <w:szCs w:val="18"/>
              </w:rPr>
              <w:t>TB-suggested symptoms</w:t>
            </w:r>
          </w:p>
        </w:tc>
        <w:tc>
          <w:tcPr>
            <w:tcW w:w="1800" w:type="dxa"/>
            <w:shd w:val="clear" w:color="auto" w:fill="EFEFEF"/>
            <w:tcMar>
              <w:top w:w="0" w:type="dxa"/>
              <w:left w:w="0" w:type="dxa"/>
              <w:bottom w:w="0" w:type="dxa"/>
              <w:right w:w="0" w:type="dxa"/>
            </w:tcMar>
            <w:vAlign w:val="center"/>
          </w:tcPr>
          <w:p w14:paraId="32B1F675" w14:textId="77777777" w:rsidR="001F2076" w:rsidRDefault="007F3B32">
            <w:pPr>
              <w:spacing w:before="100" w:after="100"/>
              <w:ind w:left="100" w:right="100"/>
              <w:jc w:val="right"/>
            </w:pPr>
            <w:r>
              <w:rPr>
                <w:rFonts w:ascii="Arial" w:eastAsia="Arial" w:hAnsi="Arial" w:cs="Arial"/>
                <w:color w:val="000000"/>
                <w:sz w:val="18"/>
                <w:szCs w:val="18"/>
              </w:rPr>
              <w:t>273</w:t>
            </w:r>
          </w:p>
        </w:tc>
        <w:tc>
          <w:tcPr>
            <w:tcW w:w="1800" w:type="dxa"/>
            <w:shd w:val="clear" w:color="auto" w:fill="EFEFEF"/>
            <w:tcMar>
              <w:top w:w="0" w:type="dxa"/>
              <w:left w:w="0" w:type="dxa"/>
              <w:bottom w:w="0" w:type="dxa"/>
              <w:right w:w="0" w:type="dxa"/>
            </w:tcMar>
            <w:vAlign w:val="center"/>
          </w:tcPr>
          <w:p w14:paraId="7048C150" w14:textId="77777777" w:rsidR="001F2076" w:rsidRDefault="007F3B32">
            <w:pPr>
              <w:spacing w:before="100" w:after="100"/>
              <w:ind w:left="100" w:right="100"/>
            </w:pPr>
            <w:r>
              <w:rPr>
                <w:rFonts w:ascii="Arial" w:eastAsia="Arial" w:hAnsi="Arial" w:cs="Arial"/>
                <w:color w:val="000000"/>
                <w:sz w:val="18"/>
                <w:szCs w:val="18"/>
              </w:rPr>
              <w:t>Unmeasured / Unnoticed / Unconscious</w:t>
            </w:r>
          </w:p>
        </w:tc>
        <w:tc>
          <w:tcPr>
            <w:tcW w:w="1800" w:type="dxa"/>
            <w:shd w:val="clear" w:color="auto" w:fill="EFEFEF"/>
            <w:tcMar>
              <w:top w:w="0" w:type="dxa"/>
              <w:left w:w="0" w:type="dxa"/>
              <w:bottom w:w="0" w:type="dxa"/>
              <w:right w:w="0" w:type="dxa"/>
            </w:tcMar>
            <w:vAlign w:val="center"/>
          </w:tcPr>
          <w:p w14:paraId="322D1FF6" w14:textId="77777777" w:rsidR="001F2076" w:rsidRDefault="007F3B32">
            <w:pPr>
              <w:spacing w:before="100" w:after="100"/>
              <w:ind w:left="100" w:right="100"/>
            </w:pPr>
            <w:r>
              <w:rPr>
                <w:rFonts w:ascii="Arial" w:eastAsia="Arial" w:hAnsi="Arial" w:cs="Arial"/>
                <w:color w:val="000000"/>
                <w:sz w:val="18"/>
                <w:szCs w:val="18"/>
              </w:rPr>
              <w:t>MAR/MNAR</w:t>
            </w:r>
          </w:p>
        </w:tc>
        <w:tc>
          <w:tcPr>
            <w:tcW w:w="1800" w:type="dxa"/>
            <w:shd w:val="clear" w:color="auto" w:fill="EFEFEF"/>
            <w:tcMar>
              <w:top w:w="0" w:type="dxa"/>
              <w:left w:w="0" w:type="dxa"/>
              <w:bottom w:w="0" w:type="dxa"/>
              <w:right w:w="0" w:type="dxa"/>
            </w:tcMar>
            <w:vAlign w:val="center"/>
          </w:tcPr>
          <w:p w14:paraId="082FEAA0"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724C070B" w14:textId="77777777">
        <w:trPr>
          <w:cantSplit/>
          <w:jc w:val="center"/>
        </w:trPr>
        <w:tc>
          <w:tcPr>
            <w:tcW w:w="1800" w:type="dxa"/>
            <w:shd w:val="clear" w:color="auto" w:fill="FFFFFF"/>
            <w:tcMar>
              <w:top w:w="0" w:type="dxa"/>
              <w:left w:w="0" w:type="dxa"/>
              <w:bottom w:w="0" w:type="dxa"/>
              <w:right w:w="0" w:type="dxa"/>
            </w:tcMar>
            <w:vAlign w:val="center"/>
          </w:tcPr>
          <w:p w14:paraId="4C8E183B" w14:textId="77777777" w:rsidR="001F2076" w:rsidRDefault="007F3B32">
            <w:pPr>
              <w:spacing w:before="100" w:after="100"/>
              <w:ind w:left="100" w:right="100"/>
            </w:pPr>
            <w:r>
              <w:rPr>
                <w:rFonts w:ascii="Arial" w:eastAsia="Arial" w:hAnsi="Arial" w:cs="Arial"/>
                <w:color w:val="000000"/>
                <w:sz w:val="18"/>
                <w:szCs w:val="18"/>
              </w:rPr>
              <w:t>Local neuro-deficit</w:t>
            </w:r>
          </w:p>
        </w:tc>
        <w:tc>
          <w:tcPr>
            <w:tcW w:w="1800" w:type="dxa"/>
            <w:shd w:val="clear" w:color="auto" w:fill="FFFFFF"/>
            <w:tcMar>
              <w:top w:w="0" w:type="dxa"/>
              <w:left w:w="0" w:type="dxa"/>
              <w:bottom w:w="0" w:type="dxa"/>
              <w:right w:w="0" w:type="dxa"/>
            </w:tcMar>
            <w:vAlign w:val="center"/>
          </w:tcPr>
          <w:p w14:paraId="02445C77" w14:textId="77777777" w:rsidR="001F2076" w:rsidRDefault="007F3B32">
            <w:pPr>
              <w:spacing w:before="100" w:after="100"/>
              <w:ind w:left="100" w:right="100"/>
              <w:jc w:val="right"/>
            </w:pPr>
            <w:r>
              <w:rPr>
                <w:rFonts w:ascii="Arial" w:eastAsia="Arial" w:hAnsi="Arial" w:cs="Arial"/>
                <w:color w:val="000000"/>
                <w:sz w:val="18"/>
                <w:szCs w:val="18"/>
              </w:rPr>
              <w:t>17</w:t>
            </w:r>
          </w:p>
        </w:tc>
        <w:tc>
          <w:tcPr>
            <w:tcW w:w="1800" w:type="dxa"/>
            <w:shd w:val="clear" w:color="auto" w:fill="FFFFFF"/>
            <w:tcMar>
              <w:top w:w="0" w:type="dxa"/>
              <w:left w:w="0" w:type="dxa"/>
              <w:bottom w:w="0" w:type="dxa"/>
              <w:right w:w="0" w:type="dxa"/>
            </w:tcMar>
            <w:vAlign w:val="center"/>
          </w:tcPr>
          <w:p w14:paraId="139BEA38" w14:textId="77777777" w:rsidR="001F2076" w:rsidRDefault="007F3B32">
            <w:pPr>
              <w:spacing w:before="100" w:after="100"/>
              <w:ind w:left="100" w:right="100"/>
            </w:pPr>
            <w:r>
              <w:rPr>
                <w:rFonts w:ascii="Arial" w:eastAsia="Arial" w:hAnsi="Arial" w:cs="Arial"/>
                <w:color w:val="000000"/>
                <w:sz w:val="18"/>
                <w:szCs w:val="18"/>
              </w:rPr>
              <w:t>Unconscious</w:t>
            </w:r>
          </w:p>
        </w:tc>
        <w:tc>
          <w:tcPr>
            <w:tcW w:w="1800" w:type="dxa"/>
            <w:shd w:val="clear" w:color="auto" w:fill="FFFFFF"/>
            <w:tcMar>
              <w:top w:w="0" w:type="dxa"/>
              <w:left w:w="0" w:type="dxa"/>
              <w:bottom w:w="0" w:type="dxa"/>
              <w:right w:w="0" w:type="dxa"/>
            </w:tcMar>
            <w:vAlign w:val="center"/>
          </w:tcPr>
          <w:p w14:paraId="5F752788" w14:textId="77777777" w:rsidR="001F2076" w:rsidRDefault="007F3B32">
            <w:pPr>
              <w:spacing w:before="100" w:after="100"/>
              <w:ind w:left="100" w:right="100"/>
            </w:pPr>
            <w:r>
              <w:rPr>
                <w:rFonts w:ascii="Arial" w:eastAsia="Arial" w:hAnsi="Arial" w:cs="Arial"/>
                <w:color w:val="000000"/>
                <w:sz w:val="18"/>
                <w:szCs w:val="18"/>
              </w:rPr>
              <w:t>MAR/MNAR</w:t>
            </w:r>
          </w:p>
        </w:tc>
        <w:tc>
          <w:tcPr>
            <w:tcW w:w="1800" w:type="dxa"/>
            <w:shd w:val="clear" w:color="auto" w:fill="FFFFFF"/>
            <w:tcMar>
              <w:top w:w="0" w:type="dxa"/>
              <w:left w:w="0" w:type="dxa"/>
              <w:bottom w:w="0" w:type="dxa"/>
              <w:right w:w="0" w:type="dxa"/>
            </w:tcMar>
            <w:vAlign w:val="center"/>
          </w:tcPr>
          <w:p w14:paraId="2C7A7E4C"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27F184A1" w14:textId="77777777">
        <w:trPr>
          <w:cantSplit/>
          <w:jc w:val="center"/>
        </w:trPr>
        <w:tc>
          <w:tcPr>
            <w:tcW w:w="1800" w:type="dxa"/>
            <w:shd w:val="clear" w:color="auto" w:fill="EFEFEF"/>
            <w:tcMar>
              <w:top w:w="0" w:type="dxa"/>
              <w:left w:w="0" w:type="dxa"/>
              <w:bottom w:w="0" w:type="dxa"/>
              <w:right w:w="0" w:type="dxa"/>
            </w:tcMar>
            <w:vAlign w:val="center"/>
          </w:tcPr>
          <w:p w14:paraId="69B71E3D" w14:textId="77777777" w:rsidR="001F2076" w:rsidRDefault="007F3B32">
            <w:pPr>
              <w:spacing w:before="100" w:after="100"/>
              <w:ind w:left="100" w:right="100"/>
            </w:pPr>
            <w:r>
              <w:rPr>
                <w:rFonts w:ascii="Arial" w:eastAsia="Arial" w:hAnsi="Arial" w:cs="Arial"/>
                <w:color w:val="000000"/>
                <w:sz w:val="18"/>
                <w:szCs w:val="18"/>
              </w:rPr>
              <w:t>Glasgow Coma Score</w:t>
            </w:r>
          </w:p>
        </w:tc>
        <w:tc>
          <w:tcPr>
            <w:tcW w:w="1800" w:type="dxa"/>
            <w:shd w:val="clear" w:color="auto" w:fill="EFEFEF"/>
            <w:tcMar>
              <w:top w:w="0" w:type="dxa"/>
              <w:left w:w="0" w:type="dxa"/>
              <w:bottom w:w="0" w:type="dxa"/>
              <w:right w:w="0" w:type="dxa"/>
            </w:tcMar>
            <w:vAlign w:val="center"/>
          </w:tcPr>
          <w:p w14:paraId="31100412" w14:textId="77777777" w:rsidR="001F2076" w:rsidRDefault="007F3B32">
            <w:pPr>
              <w:spacing w:before="100" w:after="100"/>
              <w:ind w:left="100" w:right="100"/>
              <w:jc w:val="right"/>
            </w:pPr>
            <w:r>
              <w:rPr>
                <w:rFonts w:ascii="Arial" w:eastAsia="Arial" w:hAnsi="Arial" w:cs="Arial"/>
                <w:color w:val="000000"/>
                <w:sz w:val="18"/>
                <w:szCs w:val="18"/>
              </w:rPr>
              <w:t>21</w:t>
            </w:r>
          </w:p>
        </w:tc>
        <w:tc>
          <w:tcPr>
            <w:tcW w:w="1800" w:type="dxa"/>
            <w:shd w:val="clear" w:color="auto" w:fill="EFEFEF"/>
            <w:tcMar>
              <w:top w:w="0" w:type="dxa"/>
              <w:left w:w="0" w:type="dxa"/>
              <w:bottom w:w="0" w:type="dxa"/>
              <w:right w:w="0" w:type="dxa"/>
            </w:tcMar>
            <w:vAlign w:val="center"/>
          </w:tcPr>
          <w:p w14:paraId="4E78EE52" w14:textId="77777777" w:rsidR="001F2076" w:rsidRDefault="007F3B32">
            <w:pPr>
              <w:spacing w:before="100" w:after="100"/>
              <w:ind w:left="100" w:right="100"/>
            </w:pPr>
            <w:r>
              <w:rPr>
                <w:rFonts w:ascii="Arial" w:eastAsia="Arial" w:hAnsi="Arial" w:cs="Arial"/>
                <w:color w:val="000000"/>
                <w:sz w:val="18"/>
                <w:szCs w:val="18"/>
              </w:rPr>
              <w:t>Unconscious (GCSV) / Blinded (GCSE) / Unmeasured</w:t>
            </w:r>
          </w:p>
        </w:tc>
        <w:tc>
          <w:tcPr>
            <w:tcW w:w="1800" w:type="dxa"/>
            <w:shd w:val="clear" w:color="auto" w:fill="EFEFEF"/>
            <w:tcMar>
              <w:top w:w="0" w:type="dxa"/>
              <w:left w:w="0" w:type="dxa"/>
              <w:bottom w:w="0" w:type="dxa"/>
              <w:right w:w="0" w:type="dxa"/>
            </w:tcMar>
            <w:vAlign w:val="center"/>
          </w:tcPr>
          <w:p w14:paraId="105B9A15" w14:textId="77777777" w:rsidR="001F2076" w:rsidRDefault="007F3B32">
            <w:pPr>
              <w:spacing w:before="100" w:after="100"/>
              <w:ind w:left="100" w:right="100"/>
            </w:pPr>
            <w:r>
              <w:rPr>
                <w:rFonts w:ascii="Arial" w:eastAsia="Arial" w:hAnsi="Arial" w:cs="Arial"/>
                <w:color w:val="000000"/>
                <w:sz w:val="18"/>
                <w:szCs w:val="18"/>
              </w:rPr>
              <w:t>MAR</w:t>
            </w:r>
          </w:p>
        </w:tc>
        <w:tc>
          <w:tcPr>
            <w:tcW w:w="1800" w:type="dxa"/>
            <w:shd w:val="clear" w:color="auto" w:fill="EFEFEF"/>
            <w:tcMar>
              <w:top w:w="0" w:type="dxa"/>
              <w:left w:w="0" w:type="dxa"/>
              <w:bottom w:w="0" w:type="dxa"/>
              <w:right w:w="0" w:type="dxa"/>
            </w:tcMar>
            <w:vAlign w:val="center"/>
          </w:tcPr>
          <w:p w14:paraId="2532C663"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7EB8EDAA" w14:textId="77777777">
        <w:trPr>
          <w:cantSplit/>
          <w:jc w:val="center"/>
        </w:trPr>
        <w:tc>
          <w:tcPr>
            <w:tcW w:w="1800" w:type="dxa"/>
            <w:shd w:val="clear" w:color="auto" w:fill="FFFFFF"/>
            <w:tcMar>
              <w:top w:w="0" w:type="dxa"/>
              <w:left w:w="0" w:type="dxa"/>
              <w:bottom w:w="0" w:type="dxa"/>
              <w:right w:w="0" w:type="dxa"/>
            </w:tcMar>
            <w:vAlign w:val="center"/>
          </w:tcPr>
          <w:p w14:paraId="7779E4F5" w14:textId="77777777" w:rsidR="001F2076" w:rsidRDefault="007F3B32">
            <w:pPr>
              <w:spacing w:before="100" w:after="100"/>
              <w:ind w:left="100" w:right="100"/>
            </w:pPr>
            <w:r>
              <w:rPr>
                <w:rFonts w:ascii="Arial" w:eastAsia="Arial" w:hAnsi="Arial" w:cs="Arial"/>
                <w:color w:val="000000"/>
                <w:sz w:val="18"/>
                <w:szCs w:val="18"/>
              </w:rPr>
              <w:t>Age</w:t>
            </w:r>
          </w:p>
        </w:tc>
        <w:tc>
          <w:tcPr>
            <w:tcW w:w="1800" w:type="dxa"/>
            <w:shd w:val="clear" w:color="auto" w:fill="FFFFFF"/>
            <w:tcMar>
              <w:top w:w="0" w:type="dxa"/>
              <w:left w:w="0" w:type="dxa"/>
              <w:bottom w:w="0" w:type="dxa"/>
              <w:right w:w="0" w:type="dxa"/>
            </w:tcMar>
            <w:vAlign w:val="center"/>
          </w:tcPr>
          <w:p w14:paraId="1A518E5B" w14:textId="77777777"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FFFFFF"/>
            <w:tcMar>
              <w:top w:w="0" w:type="dxa"/>
              <w:left w:w="0" w:type="dxa"/>
              <w:bottom w:w="0" w:type="dxa"/>
              <w:right w:w="0" w:type="dxa"/>
            </w:tcMar>
            <w:vAlign w:val="center"/>
          </w:tcPr>
          <w:p w14:paraId="45CEFC92" w14:textId="77777777" w:rsidR="001F2076" w:rsidRDefault="007F3B32">
            <w:pPr>
              <w:spacing w:before="100" w:after="100"/>
              <w:ind w:left="100" w:right="100"/>
            </w:pPr>
            <w:r>
              <w:rPr>
                <w:rFonts w:ascii="Arial" w:eastAsia="Arial" w:hAnsi="Arial" w:cs="Arial"/>
                <w:color w:val="000000"/>
                <w:sz w:val="18"/>
                <w:szCs w:val="18"/>
              </w:rPr>
              <w:t>Input error</w:t>
            </w:r>
          </w:p>
        </w:tc>
        <w:tc>
          <w:tcPr>
            <w:tcW w:w="1800" w:type="dxa"/>
            <w:shd w:val="clear" w:color="auto" w:fill="FFFFFF"/>
            <w:tcMar>
              <w:top w:w="0" w:type="dxa"/>
              <w:left w:w="0" w:type="dxa"/>
              <w:bottom w:w="0" w:type="dxa"/>
              <w:right w:w="0" w:type="dxa"/>
            </w:tcMar>
            <w:vAlign w:val="center"/>
          </w:tcPr>
          <w:p w14:paraId="30BC39C4" w14:textId="77777777" w:rsidR="001F2076" w:rsidRDefault="007F3B32">
            <w:pPr>
              <w:spacing w:before="100" w:after="100"/>
              <w:ind w:left="100" w:right="100"/>
            </w:pPr>
            <w:r>
              <w:rPr>
                <w:rFonts w:ascii="Arial" w:eastAsia="Arial" w:hAnsi="Arial" w:cs="Arial"/>
                <w:color w:val="000000"/>
                <w:sz w:val="18"/>
                <w:szCs w:val="18"/>
              </w:rPr>
              <w:t>MCAR/MAR</w:t>
            </w:r>
          </w:p>
        </w:tc>
        <w:tc>
          <w:tcPr>
            <w:tcW w:w="1800" w:type="dxa"/>
            <w:shd w:val="clear" w:color="auto" w:fill="FFFFFF"/>
            <w:tcMar>
              <w:top w:w="0" w:type="dxa"/>
              <w:left w:w="0" w:type="dxa"/>
              <w:bottom w:w="0" w:type="dxa"/>
              <w:right w:w="0" w:type="dxa"/>
            </w:tcMar>
            <w:vAlign w:val="center"/>
          </w:tcPr>
          <w:p w14:paraId="4000EE0B"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3299F0AE" w14:textId="77777777">
        <w:trPr>
          <w:cantSplit/>
          <w:jc w:val="center"/>
        </w:trPr>
        <w:tc>
          <w:tcPr>
            <w:tcW w:w="1800" w:type="dxa"/>
            <w:shd w:val="clear" w:color="auto" w:fill="EFEFEF"/>
            <w:tcMar>
              <w:top w:w="0" w:type="dxa"/>
              <w:left w:w="0" w:type="dxa"/>
              <w:bottom w:w="0" w:type="dxa"/>
              <w:right w:w="0" w:type="dxa"/>
            </w:tcMar>
            <w:vAlign w:val="center"/>
          </w:tcPr>
          <w:p w14:paraId="17829283" w14:textId="77777777" w:rsidR="001F2076" w:rsidRDefault="007F3B32">
            <w:pPr>
              <w:spacing w:before="100" w:after="100"/>
              <w:ind w:left="100" w:right="100"/>
            </w:pPr>
            <w:r>
              <w:rPr>
                <w:rFonts w:ascii="Arial" w:eastAsia="Arial" w:hAnsi="Arial" w:cs="Arial"/>
                <w:color w:val="000000"/>
                <w:sz w:val="18"/>
                <w:szCs w:val="18"/>
              </w:rPr>
              <w:t>Illness days</w:t>
            </w:r>
          </w:p>
        </w:tc>
        <w:tc>
          <w:tcPr>
            <w:tcW w:w="1800" w:type="dxa"/>
            <w:shd w:val="clear" w:color="auto" w:fill="EFEFEF"/>
            <w:tcMar>
              <w:top w:w="0" w:type="dxa"/>
              <w:left w:w="0" w:type="dxa"/>
              <w:bottom w:w="0" w:type="dxa"/>
              <w:right w:w="0" w:type="dxa"/>
            </w:tcMar>
            <w:vAlign w:val="center"/>
          </w:tcPr>
          <w:p w14:paraId="073B79E5" w14:textId="77777777" w:rsidR="001F2076" w:rsidRDefault="007F3B32">
            <w:pPr>
              <w:spacing w:before="100" w:after="100"/>
              <w:ind w:left="100" w:right="100"/>
              <w:jc w:val="right"/>
            </w:pPr>
            <w:r>
              <w:rPr>
                <w:rFonts w:ascii="Arial" w:eastAsia="Arial" w:hAnsi="Arial" w:cs="Arial"/>
                <w:color w:val="000000"/>
                <w:sz w:val="18"/>
                <w:szCs w:val="18"/>
              </w:rPr>
              <w:t>29</w:t>
            </w:r>
          </w:p>
        </w:tc>
        <w:tc>
          <w:tcPr>
            <w:tcW w:w="1800" w:type="dxa"/>
            <w:shd w:val="clear" w:color="auto" w:fill="EFEFEF"/>
            <w:tcMar>
              <w:top w:w="0" w:type="dxa"/>
              <w:left w:w="0" w:type="dxa"/>
              <w:bottom w:w="0" w:type="dxa"/>
              <w:right w:w="0" w:type="dxa"/>
            </w:tcMar>
            <w:vAlign w:val="center"/>
          </w:tcPr>
          <w:p w14:paraId="0FBFF28D" w14:textId="77777777" w:rsidR="001F2076" w:rsidRDefault="007F3B32">
            <w:pPr>
              <w:spacing w:before="100" w:after="100"/>
              <w:ind w:left="100" w:right="100"/>
            </w:pPr>
            <w:r>
              <w:rPr>
                <w:rFonts w:ascii="Arial" w:eastAsia="Arial" w:hAnsi="Arial" w:cs="Arial"/>
                <w:color w:val="000000"/>
                <w:sz w:val="18"/>
                <w:szCs w:val="18"/>
              </w:rPr>
              <w:t>Patients forget / Unconscious</w:t>
            </w:r>
          </w:p>
        </w:tc>
        <w:tc>
          <w:tcPr>
            <w:tcW w:w="1800" w:type="dxa"/>
            <w:shd w:val="clear" w:color="auto" w:fill="EFEFEF"/>
            <w:tcMar>
              <w:top w:w="0" w:type="dxa"/>
              <w:left w:w="0" w:type="dxa"/>
              <w:bottom w:w="0" w:type="dxa"/>
              <w:right w:w="0" w:type="dxa"/>
            </w:tcMar>
            <w:vAlign w:val="center"/>
          </w:tcPr>
          <w:p w14:paraId="51C8D314" w14:textId="77777777" w:rsidR="001F2076" w:rsidRDefault="007F3B32">
            <w:pPr>
              <w:spacing w:before="100" w:after="100"/>
              <w:ind w:left="100" w:right="100"/>
            </w:pPr>
            <w:r>
              <w:rPr>
                <w:rFonts w:ascii="Arial" w:eastAsia="Arial" w:hAnsi="Arial" w:cs="Arial"/>
                <w:color w:val="000000"/>
                <w:sz w:val="18"/>
                <w:szCs w:val="18"/>
              </w:rPr>
              <w:t>MAR</w:t>
            </w:r>
          </w:p>
        </w:tc>
        <w:tc>
          <w:tcPr>
            <w:tcW w:w="1800" w:type="dxa"/>
            <w:shd w:val="clear" w:color="auto" w:fill="EFEFEF"/>
            <w:tcMar>
              <w:top w:w="0" w:type="dxa"/>
              <w:left w:w="0" w:type="dxa"/>
              <w:bottom w:w="0" w:type="dxa"/>
              <w:right w:w="0" w:type="dxa"/>
            </w:tcMar>
            <w:vAlign w:val="center"/>
          </w:tcPr>
          <w:p w14:paraId="20568786"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1A23C3E2" w14:textId="77777777">
        <w:trPr>
          <w:cantSplit/>
          <w:jc w:val="center"/>
        </w:trPr>
        <w:tc>
          <w:tcPr>
            <w:tcW w:w="1800" w:type="dxa"/>
            <w:shd w:val="clear" w:color="auto" w:fill="FFFFFF"/>
            <w:tcMar>
              <w:top w:w="0" w:type="dxa"/>
              <w:left w:w="0" w:type="dxa"/>
              <w:bottom w:w="0" w:type="dxa"/>
              <w:right w:w="0" w:type="dxa"/>
            </w:tcMar>
            <w:vAlign w:val="center"/>
          </w:tcPr>
          <w:p w14:paraId="56B3043F" w14:textId="77777777" w:rsidR="001F2076" w:rsidRDefault="007F3B32">
            <w:pPr>
              <w:spacing w:before="100" w:after="100"/>
              <w:ind w:left="100" w:right="100"/>
            </w:pPr>
            <w:r>
              <w:rPr>
                <w:rFonts w:ascii="Arial" w:eastAsia="Arial" w:hAnsi="Arial" w:cs="Arial"/>
                <w:color w:val="000000"/>
                <w:sz w:val="18"/>
                <w:szCs w:val="18"/>
              </w:rPr>
              <w:t>Blood Lymphocyte</w:t>
            </w:r>
          </w:p>
        </w:tc>
        <w:tc>
          <w:tcPr>
            <w:tcW w:w="1800" w:type="dxa"/>
            <w:shd w:val="clear" w:color="auto" w:fill="FFFFFF"/>
            <w:tcMar>
              <w:top w:w="0" w:type="dxa"/>
              <w:left w:w="0" w:type="dxa"/>
              <w:bottom w:w="0" w:type="dxa"/>
              <w:right w:w="0" w:type="dxa"/>
            </w:tcMar>
            <w:vAlign w:val="center"/>
          </w:tcPr>
          <w:p w14:paraId="2CB6D834" w14:textId="77777777"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FFFFFF"/>
            <w:tcMar>
              <w:top w:w="0" w:type="dxa"/>
              <w:left w:w="0" w:type="dxa"/>
              <w:bottom w:w="0" w:type="dxa"/>
              <w:right w:w="0" w:type="dxa"/>
            </w:tcMar>
            <w:vAlign w:val="center"/>
          </w:tcPr>
          <w:p w14:paraId="7D910B45" w14:textId="77777777" w:rsidR="001F2076" w:rsidRDefault="007F3B32">
            <w:pPr>
              <w:spacing w:before="100" w:after="100"/>
              <w:ind w:left="100" w:right="100"/>
            </w:pPr>
            <w:r>
              <w:rPr>
                <w:rFonts w:ascii="Arial" w:eastAsia="Arial" w:hAnsi="Arial" w:cs="Arial"/>
                <w:color w:val="000000"/>
                <w:sz w:val="18"/>
                <w:szCs w:val="18"/>
              </w:rPr>
              <w:t>Unmeasured (premature death)</w:t>
            </w:r>
          </w:p>
        </w:tc>
        <w:tc>
          <w:tcPr>
            <w:tcW w:w="1800" w:type="dxa"/>
            <w:shd w:val="clear" w:color="auto" w:fill="FFFFFF"/>
            <w:tcMar>
              <w:top w:w="0" w:type="dxa"/>
              <w:left w:w="0" w:type="dxa"/>
              <w:bottom w:w="0" w:type="dxa"/>
              <w:right w:w="0" w:type="dxa"/>
            </w:tcMar>
            <w:vAlign w:val="center"/>
          </w:tcPr>
          <w:p w14:paraId="406A41BD" w14:textId="77777777" w:rsidR="001F2076" w:rsidRDefault="007F3B32">
            <w:pPr>
              <w:spacing w:before="100" w:after="100"/>
              <w:ind w:left="100" w:right="100"/>
            </w:pPr>
            <w:r>
              <w:rPr>
                <w:rFonts w:ascii="Arial" w:eastAsia="Arial" w:hAnsi="Arial" w:cs="Arial"/>
                <w:color w:val="000000"/>
                <w:sz w:val="18"/>
                <w:szCs w:val="18"/>
              </w:rPr>
              <w:t>MAR</w:t>
            </w:r>
          </w:p>
        </w:tc>
        <w:tc>
          <w:tcPr>
            <w:tcW w:w="1800" w:type="dxa"/>
            <w:shd w:val="clear" w:color="auto" w:fill="FFFFFF"/>
            <w:tcMar>
              <w:top w:w="0" w:type="dxa"/>
              <w:left w:w="0" w:type="dxa"/>
              <w:bottom w:w="0" w:type="dxa"/>
              <w:right w:w="0" w:type="dxa"/>
            </w:tcMar>
            <w:vAlign w:val="center"/>
          </w:tcPr>
          <w:p w14:paraId="4768CA40"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3A53F623" w14:textId="77777777">
        <w:trPr>
          <w:cantSplit/>
          <w:jc w:val="center"/>
        </w:trPr>
        <w:tc>
          <w:tcPr>
            <w:tcW w:w="1800" w:type="dxa"/>
            <w:shd w:val="clear" w:color="auto" w:fill="EFEFEF"/>
            <w:tcMar>
              <w:top w:w="0" w:type="dxa"/>
              <w:left w:w="0" w:type="dxa"/>
              <w:bottom w:w="0" w:type="dxa"/>
              <w:right w:w="0" w:type="dxa"/>
            </w:tcMar>
            <w:vAlign w:val="center"/>
          </w:tcPr>
          <w:p w14:paraId="691E6547" w14:textId="77777777" w:rsidR="001F2076" w:rsidRDefault="007F3B32">
            <w:pPr>
              <w:spacing w:before="100" w:after="100"/>
              <w:ind w:left="100" w:right="100"/>
            </w:pPr>
            <w:r>
              <w:rPr>
                <w:rFonts w:ascii="Arial" w:eastAsia="Arial" w:hAnsi="Arial" w:cs="Arial"/>
                <w:color w:val="000000"/>
                <w:sz w:val="18"/>
                <w:szCs w:val="18"/>
              </w:rPr>
              <w:t>Blood Neutrophil</w:t>
            </w:r>
          </w:p>
        </w:tc>
        <w:tc>
          <w:tcPr>
            <w:tcW w:w="1800" w:type="dxa"/>
            <w:shd w:val="clear" w:color="auto" w:fill="EFEFEF"/>
            <w:tcMar>
              <w:top w:w="0" w:type="dxa"/>
              <w:left w:w="0" w:type="dxa"/>
              <w:bottom w:w="0" w:type="dxa"/>
              <w:right w:w="0" w:type="dxa"/>
            </w:tcMar>
            <w:vAlign w:val="center"/>
          </w:tcPr>
          <w:p w14:paraId="4E204D21" w14:textId="77777777"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EFEFEF"/>
            <w:tcMar>
              <w:top w:w="0" w:type="dxa"/>
              <w:left w:w="0" w:type="dxa"/>
              <w:bottom w:w="0" w:type="dxa"/>
              <w:right w:w="0" w:type="dxa"/>
            </w:tcMar>
            <w:vAlign w:val="center"/>
          </w:tcPr>
          <w:p w14:paraId="483BB9E3" w14:textId="77777777" w:rsidR="001F2076" w:rsidRDefault="007F3B32">
            <w:pPr>
              <w:spacing w:before="100" w:after="100"/>
              <w:ind w:left="100" w:right="100"/>
            </w:pPr>
            <w:r>
              <w:rPr>
                <w:rFonts w:ascii="Arial" w:eastAsia="Arial" w:hAnsi="Arial" w:cs="Arial"/>
                <w:color w:val="000000"/>
                <w:sz w:val="18"/>
                <w:szCs w:val="18"/>
              </w:rPr>
              <w:t>Unmeasured (premature death)</w:t>
            </w:r>
          </w:p>
        </w:tc>
        <w:tc>
          <w:tcPr>
            <w:tcW w:w="1800" w:type="dxa"/>
            <w:shd w:val="clear" w:color="auto" w:fill="EFEFEF"/>
            <w:tcMar>
              <w:top w:w="0" w:type="dxa"/>
              <w:left w:w="0" w:type="dxa"/>
              <w:bottom w:w="0" w:type="dxa"/>
              <w:right w:w="0" w:type="dxa"/>
            </w:tcMar>
            <w:vAlign w:val="center"/>
          </w:tcPr>
          <w:p w14:paraId="36571D92" w14:textId="77777777" w:rsidR="001F2076" w:rsidRDefault="007F3B32">
            <w:pPr>
              <w:spacing w:before="100" w:after="100"/>
              <w:ind w:left="100" w:right="100"/>
            </w:pPr>
            <w:r>
              <w:rPr>
                <w:rFonts w:ascii="Arial" w:eastAsia="Arial" w:hAnsi="Arial" w:cs="Arial"/>
                <w:color w:val="000000"/>
                <w:sz w:val="18"/>
                <w:szCs w:val="18"/>
              </w:rPr>
              <w:t>MAR</w:t>
            </w:r>
          </w:p>
        </w:tc>
        <w:tc>
          <w:tcPr>
            <w:tcW w:w="1800" w:type="dxa"/>
            <w:shd w:val="clear" w:color="auto" w:fill="EFEFEF"/>
            <w:tcMar>
              <w:top w:w="0" w:type="dxa"/>
              <w:left w:w="0" w:type="dxa"/>
              <w:bottom w:w="0" w:type="dxa"/>
              <w:right w:w="0" w:type="dxa"/>
            </w:tcMar>
            <w:vAlign w:val="center"/>
          </w:tcPr>
          <w:p w14:paraId="4716374A"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33331CAC" w14:textId="77777777">
        <w:trPr>
          <w:cantSplit/>
          <w:jc w:val="center"/>
        </w:trPr>
        <w:tc>
          <w:tcPr>
            <w:tcW w:w="1800" w:type="dxa"/>
            <w:shd w:val="clear" w:color="auto" w:fill="FFFFFF"/>
            <w:tcMar>
              <w:top w:w="0" w:type="dxa"/>
              <w:left w:w="0" w:type="dxa"/>
              <w:bottom w:w="0" w:type="dxa"/>
              <w:right w:w="0" w:type="dxa"/>
            </w:tcMar>
            <w:vAlign w:val="center"/>
          </w:tcPr>
          <w:p w14:paraId="421677E7" w14:textId="77777777" w:rsidR="001F2076" w:rsidRDefault="007F3B32">
            <w:pPr>
              <w:spacing w:before="100" w:after="100"/>
              <w:ind w:left="100" w:right="100"/>
            </w:pPr>
            <w:r>
              <w:rPr>
                <w:rFonts w:ascii="Arial" w:eastAsia="Arial" w:hAnsi="Arial" w:cs="Arial"/>
                <w:color w:val="000000"/>
                <w:sz w:val="18"/>
                <w:szCs w:val="18"/>
              </w:rPr>
              <w:t>Blood Glucose</w:t>
            </w:r>
          </w:p>
        </w:tc>
        <w:tc>
          <w:tcPr>
            <w:tcW w:w="1800" w:type="dxa"/>
            <w:shd w:val="clear" w:color="auto" w:fill="FFFFFF"/>
            <w:tcMar>
              <w:top w:w="0" w:type="dxa"/>
              <w:left w:w="0" w:type="dxa"/>
              <w:bottom w:w="0" w:type="dxa"/>
              <w:right w:w="0" w:type="dxa"/>
            </w:tcMar>
            <w:vAlign w:val="center"/>
          </w:tcPr>
          <w:p w14:paraId="7302B4ED" w14:textId="77777777" w:rsidR="001F2076" w:rsidRDefault="007F3B32">
            <w:pPr>
              <w:spacing w:before="100" w:after="100"/>
              <w:ind w:left="100" w:right="100"/>
              <w:jc w:val="right"/>
            </w:pPr>
            <w:r>
              <w:rPr>
                <w:rFonts w:ascii="Arial" w:eastAsia="Arial" w:hAnsi="Arial" w:cs="Arial"/>
                <w:color w:val="000000"/>
                <w:sz w:val="18"/>
                <w:szCs w:val="18"/>
              </w:rPr>
              <w:t>7</w:t>
            </w:r>
          </w:p>
        </w:tc>
        <w:tc>
          <w:tcPr>
            <w:tcW w:w="1800" w:type="dxa"/>
            <w:shd w:val="clear" w:color="auto" w:fill="FFFFFF"/>
            <w:tcMar>
              <w:top w:w="0" w:type="dxa"/>
              <w:left w:w="0" w:type="dxa"/>
              <w:bottom w:w="0" w:type="dxa"/>
              <w:right w:w="0" w:type="dxa"/>
            </w:tcMar>
            <w:vAlign w:val="center"/>
          </w:tcPr>
          <w:p w14:paraId="49E3EA66" w14:textId="77777777" w:rsidR="001F2076" w:rsidRDefault="007F3B32">
            <w:pPr>
              <w:spacing w:before="100" w:after="100"/>
              <w:ind w:left="100" w:right="100"/>
            </w:pPr>
            <w:r>
              <w:rPr>
                <w:rFonts w:ascii="Arial" w:eastAsia="Arial" w:hAnsi="Arial" w:cs="Arial"/>
                <w:color w:val="000000"/>
                <w:sz w:val="18"/>
                <w:szCs w:val="18"/>
              </w:rPr>
              <w:t>Most likely input error / Unmeasured (premature death)</w:t>
            </w:r>
          </w:p>
        </w:tc>
        <w:tc>
          <w:tcPr>
            <w:tcW w:w="1800" w:type="dxa"/>
            <w:shd w:val="clear" w:color="auto" w:fill="FFFFFF"/>
            <w:tcMar>
              <w:top w:w="0" w:type="dxa"/>
              <w:left w:w="0" w:type="dxa"/>
              <w:bottom w:w="0" w:type="dxa"/>
              <w:right w:w="0" w:type="dxa"/>
            </w:tcMar>
            <w:vAlign w:val="center"/>
          </w:tcPr>
          <w:p w14:paraId="47A42019" w14:textId="77777777" w:rsidR="001F2076" w:rsidRDefault="007F3B32">
            <w:pPr>
              <w:spacing w:before="100" w:after="100"/>
              <w:ind w:left="100" w:right="100"/>
            </w:pPr>
            <w:r>
              <w:rPr>
                <w:rFonts w:ascii="Arial" w:eastAsia="Arial" w:hAnsi="Arial" w:cs="Arial"/>
                <w:color w:val="000000"/>
                <w:sz w:val="18"/>
                <w:szCs w:val="18"/>
              </w:rPr>
              <w:t>MAR/MCAR</w:t>
            </w:r>
          </w:p>
        </w:tc>
        <w:tc>
          <w:tcPr>
            <w:tcW w:w="1800" w:type="dxa"/>
            <w:shd w:val="clear" w:color="auto" w:fill="FFFFFF"/>
            <w:tcMar>
              <w:top w:w="0" w:type="dxa"/>
              <w:left w:w="0" w:type="dxa"/>
              <w:bottom w:w="0" w:type="dxa"/>
              <w:right w:w="0" w:type="dxa"/>
            </w:tcMar>
            <w:vAlign w:val="center"/>
          </w:tcPr>
          <w:p w14:paraId="7E703F23"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3B31005D" w14:textId="77777777">
        <w:trPr>
          <w:cantSplit/>
          <w:jc w:val="center"/>
        </w:trPr>
        <w:tc>
          <w:tcPr>
            <w:tcW w:w="1800" w:type="dxa"/>
            <w:shd w:val="clear" w:color="auto" w:fill="EFEFEF"/>
            <w:tcMar>
              <w:top w:w="0" w:type="dxa"/>
              <w:left w:w="0" w:type="dxa"/>
              <w:bottom w:w="0" w:type="dxa"/>
              <w:right w:w="0" w:type="dxa"/>
            </w:tcMar>
            <w:vAlign w:val="center"/>
          </w:tcPr>
          <w:p w14:paraId="4ADFCF2C" w14:textId="77777777" w:rsidR="001F2076" w:rsidRDefault="007F3B32">
            <w:pPr>
              <w:spacing w:before="100" w:after="100"/>
              <w:ind w:left="100" w:right="100"/>
            </w:pPr>
            <w:r>
              <w:rPr>
                <w:rFonts w:ascii="Arial" w:eastAsia="Arial" w:hAnsi="Arial" w:cs="Arial"/>
                <w:color w:val="000000"/>
                <w:sz w:val="18"/>
                <w:szCs w:val="18"/>
              </w:rPr>
              <w:t>CSF glucose</w:t>
            </w:r>
          </w:p>
        </w:tc>
        <w:tc>
          <w:tcPr>
            <w:tcW w:w="1800" w:type="dxa"/>
            <w:shd w:val="clear" w:color="auto" w:fill="EFEFEF"/>
            <w:tcMar>
              <w:top w:w="0" w:type="dxa"/>
              <w:left w:w="0" w:type="dxa"/>
              <w:bottom w:w="0" w:type="dxa"/>
              <w:right w:w="0" w:type="dxa"/>
            </w:tcMar>
            <w:vAlign w:val="center"/>
          </w:tcPr>
          <w:p w14:paraId="071B98EA" w14:textId="77777777"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EFEFEF"/>
            <w:tcMar>
              <w:top w:w="0" w:type="dxa"/>
              <w:left w:w="0" w:type="dxa"/>
              <w:bottom w:w="0" w:type="dxa"/>
              <w:right w:w="0" w:type="dxa"/>
            </w:tcMar>
            <w:vAlign w:val="center"/>
          </w:tcPr>
          <w:p w14:paraId="48C5F8E3" w14:textId="77777777" w:rsidR="001F2076" w:rsidRDefault="007F3B32">
            <w:pPr>
              <w:spacing w:before="100" w:after="100"/>
              <w:ind w:left="100" w:right="100"/>
            </w:pPr>
            <w:r>
              <w:rPr>
                <w:rFonts w:ascii="Arial" w:eastAsia="Arial" w:hAnsi="Arial" w:cs="Arial"/>
                <w:color w:val="000000"/>
                <w:sz w:val="18"/>
                <w:szCs w:val="18"/>
              </w:rPr>
              <w:t>Unmeasured (premature death)</w:t>
            </w:r>
          </w:p>
        </w:tc>
        <w:tc>
          <w:tcPr>
            <w:tcW w:w="1800" w:type="dxa"/>
            <w:shd w:val="clear" w:color="auto" w:fill="EFEFEF"/>
            <w:tcMar>
              <w:top w:w="0" w:type="dxa"/>
              <w:left w:w="0" w:type="dxa"/>
              <w:bottom w:w="0" w:type="dxa"/>
              <w:right w:w="0" w:type="dxa"/>
            </w:tcMar>
            <w:vAlign w:val="center"/>
          </w:tcPr>
          <w:p w14:paraId="6DE9F8ED" w14:textId="77777777" w:rsidR="001F2076" w:rsidRDefault="007F3B32">
            <w:pPr>
              <w:spacing w:before="100" w:after="100"/>
              <w:ind w:left="100" w:right="100"/>
            </w:pPr>
            <w:r>
              <w:rPr>
                <w:rFonts w:ascii="Arial" w:eastAsia="Arial" w:hAnsi="Arial" w:cs="Arial"/>
                <w:color w:val="000000"/>
                <w:sz w:val="18"/>
                <w:szCs w:val="18"/>
              </w:rPr>
              <w:t>MAR/MCAR</w:t>
            </w:r>
          </w:p>
        </w:tc>
        <w:tc>
          <w:tcPr>
            <w:tcW w:w="1800" w:type="dxa"/>
            <w:shd w:val="clear" w:color="auto" w:fill="EFEFEF"/>
            <w:tcMar>
              <w:top w:w="0" w:type="dxa"/>
              <w:left w:w="0" w:type="dxa"/>
              <w:bottom w:w="0" w:type="dxa"/>
              <w:right w:w="0" w:type="dxa"/>
            </w:tcMar>
            <w:vAlign w:val="center"/>
          </w:tcPr>
          <w:p w14:paraId="43FF7B7B"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58E6A68E" w14:textId="77777777">
        <w:trPr>
          <w:cantSplit/>
          <w:jc w:val="center"/>
        </w:trPr>
        <w:tc>
          <w:tcPr>
            <w:tcW w:w="1800" w:type="dxa"/>
            <w:shd w:val="clear" w:color="auto" w:fill="FFFFFF"/>
            <w:tcMar>
              <w:top w:w="0" w:type="dxa"/>
              <w:left w:w="0" w:type="dxa"/>
              <w:bottom w:w="0" w:type="dxa"/>
              <w:right w:w="0" w:type="dxa"/>
            </w:tcMar>
            <w:vAlign w:val="center"/>
          </w:tcPr>
          <w:p w14:paraId="61E7D217" w14:textId="77777777" w:rsidR="001F2076" w:rsidRDefault="007F3B32">
            <w:pPr>
              <w:spacing w:before="100" w:after="100"/>
              <w:ind w:left="100" w:right="100"/>
            </w:pPr>
            <w:r>
              <w:rPr>
                <w:rFonts w:ascii="Arial" w:eastAsia="Arial" w:hAnsi="Arial" w:cs="Arial"/>
                <w:color w:val="000000"/>
                <w:sz w:val="18"/>
                <w:szCs w:val="18"/>
              </w:rPr>
              <w:t>CSF lymphocyte count</w:t>
            </w:r>
            <w:r>
              <w:rPr>
                <w:rFonts w:ascii="Arial" w:eastAsia="Arial" w:hAnsi="Arial" w:cs="Arial"/>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14:paraId="1573A230" w14:textId="77777777" w:rsidR="001F2076" w:rsidRDefault="007F3B32">
            <w:pPr>
              <w:spacing w:before="100" w:after="100"/>
              <w:ind w:left="100" w:right="100"/>
              <w:jc w:val="right"/>
            </w:pPr>
            <w:r>
              <w:rPr>
                <w:rFonts w:ascii="Arial" w:eastAsia="Arial" w:hAnsi="Arial" w:cs="Arial"/>
                <w:color w:val="000000"/>
                <w:sz w:val="18"/>
                <w:szCs w:val="18"/>
              </w:rPr>
              <w:t>2</w:t>
            </w:r>
          </w:p>
        </w:tc>
        <w:tc>
          <w:tcPr>
            <w:tcW w:w="1800" w:type="dxa"/>
            <w:shd w:val="clear" w:color="auto" w:fill="FFFFFF"/>
            <w:tcMar>
              <w:top w:w="0" w:type="dxa"/>
              <w:left w:w="0" w:type="dxa"/>
              <w:bottom w:w="0" w:type="dxa"/>
              <w:right w:w="0" w:type="dxa"/>
            </w:tcMar>
            <w:vAlign w:val="center"/>
          </w:tcPr>
          <w:p w14:paraId="1021B926" w14:textId="77777777" w:rsidR="001F2076" w:rsidRDefault="007F3B32">
            <w:pPr>
              <w:spacing w:before="100" w:after="100"/>
              <w:ind w:left="100" w:right="100"/>
            </w:pPr>
            <w:r>
              <w:rPr>
                <w:rFonts w:ascii="Arial" w:eastAsia="Arial" w:hAnsi="Arial" w:cs="Arial"/>
                <w:color w:val="000000"/>
                <w:sz w:val="18"/>
                <w:szCs w:val="18"/>
              </w:rPr>
              <w:t>Very low or zero / Input error / Unmeasured (premature death)</w:t>
            </w:r>
          </w:p>
        </w:tc>
        <w:tc>
          <w:tcPr>
            <w:tcW w:w="1800" w:type="dxa"/>
            <w:shd w:val="clear" w:color="auto" w:fill="FFFFFF"/>
            <w:tcMar>
              <w:top w:w="0" w:type="dxa"/>
              <w:left w:w="0" w:type="dxa"/>
              <w:bottom w:w="0" w:type="dxa"/>
              <w:right w:w="0" w:type="dxa"/>
            </w:tcMar>
            <w:vAlign w:val="center"/>
          </w:tcPr>
          <w:p w14:paraId="78C892A2" w14:textId="77777777" w:rsidR="001F2076" w:rsidRDefault="007F3B32">
            <w:pPr>
              <w:spacing w:before="100" w:after="100"/>
              <w:ind w:left="100" w:right="100"/>
            </w:pPr>
            <w:r>
              <w:rPr>
                <w:rFonts w:ascii="Arial" w:eastAsia="Arial" w:hAnsi="Arial" w:cs="Arial"/>
                <w:color w:val="000000"/>
                <w:sz w:val="18"/>
                <w:szCs w:val="18"/>
              </w:rPr>
              <w:t>MNAR/MAR</w:t>
            </w:r>
          </w:p>
        </w:tc>
        <w:tc>
          <w:tcPr>
            <w:tcW w:w="1800" w:type="dxa"/>
            <w:shd w:val="clear" w:color="auto" w:fill="FFFFFF"/>
            <w:tcMar>
              <w:top w:w="0" w:type="dxa"/>
              <w:left w:w="0" w:type="dxa"/>
              <w:bottom w:w="0" w:type="dxa"/>
              <w:right w:w="0" w:type="dxa"/>
            </w:tcMar>
            <w:vAlign w:val="center"/>
          </w:tcPr>
          <w:p w14:paraId="41AE5B05" w14:textId="77777777" w:rsidR="001F2076" w:rsidRDefault="007F3B32">
            <w:pPr>
              <w:spacing w:before="100" w:after="100"/>
              <w:ind w:left="100" w:right="100"/>
            </w:pPr>
            <w:r>
              <w:rPr>
                <w:rFonts w:ascii="Arial" w:eastAsia="Arial" w:hAnsi="Arial" w:cs="Arial"/>
                <w:color w:val="000000"/>
                <w:sz w:val="18"/>
                <w:szCs w:val="18"/>
              </w:rPr>
              <w:t>Manually set/Imputation</w:t>
            </w:r>
          </w:p>
        </w:tc>
      </w:tr>
      <w:tr w:rsidR="001F2076" w14:paraId="4C64FC7A" w14:textId="77777777">
        <w:trPr>
          <w:cantSplit/>
          <w:jc w:val="center"/>
        </w:trPr>
        <w:tc>
          <w:tcPr>
            <w:tcW w:w="1800" w:type="dxa"/>
            <w:shd w:val="clear" w:color="auto" w:fill="EFEFEF"/>
            <w:tcMar>
              <w:top w:w="0" w:type="dxa"/>
              <w:left w:w="0" w:type="dxa"/>
              <w:bottom w:w="0" w:type="dxa"/>
              <w:right w:w="0" w:type="dxa"/>
            </w:tcMar>
            <w:vAlign w:val="center"/>
          </w:tcPr>
          <w:p w14:paraId="23908A54" w14:textId="77777777" w:rsidR="001F2076" w:rsidRDefault="007F3B32">
            <w:pPr>
              <w:spacing w:before="100" w:after="100"/>
              <w:ind w:left="100" w:right="100"/>
            </w:pPr>
            <w:r>
              <w:rPr>
                <w:rFonts w:ascii="Arial" w:eastAsia="Arial" w:hAnsi="Arial" w:cs="Arial"/>
                <w:color w:val="000000"/>
                <w:sz w:val="18"/>
                <w:szCs w:val="18"/>
              </w:rPr>
              <w:t>CSF neutrophil count</w:t>
            </w:r>
            <w:r>
              <w:rPr>
                <w:rFonts w:ascii="Arial" w:eastAsia="Arial" w:hAnsi="Arial" w:cs="Arial"/>
                <w:color w:val="000000"/>
                <w:sz w:val="18"/>
                <w:szCs w:val="18"/>
                <w:vertAlign w:val="superscript"/>
              </w:rPr>
              <w:t>1</w:t>
            </w:r>
          </w:p>
        </w:tc>
        <w:tc>
          <w:tcPr>
            <w:tcW w:w="1800" w:type="dxa"/>
            <w:shd w:val="clear" w:color="auto" w:fill="EFEFEF"/>
            <w:tcMar>
              <w:top w:w="0" w:type="dxa"/>
              <w:left w:w="0" w:type="dxa"/>
              <w:bottom w:w="0" w:type="dxa"/>
              <w:right w:w="0" w:type="dxa"/>
            </w:tcMar>
            <w:vAlign w:val="center"/>
          </w:tcPr>
          <w:p w14:paraId="7B176BD7" w14:textId="77777777" w:rsidR="001F2076" w:rsidRDefault="007F3B32">
            <w:pPr>
              <w:spacing w:before="100" w:after="100"/>
              <w:ind w:left="100" w:right="100"/>
              <w:jc w:val="right"/>
            </w:pPr>
            <w:r>
              <w:rPr>
                <w:rFonts w:ascii="Arial" w:eastAsia="Arial" w:hAnsi="Arial" w:cs="Arial"/>
                <w:color w:val="000000"/>
                <w:sz w:val="18"/>
                <w:szCs w:val="18"/>
              </w:rPr>
              <w:t>21</w:t>
            </w:r>
          </w:p>
        </w:tc>
        <w:tc>
          <w:tcPr>
            <w:tcW w:w="1800" w:type="dxa"/>
            <w:shd w:val="clear" w:color="auto" w:fill="EFEFEF"/>
            <w:tcMar>
              <w:top w:w="0" w:type="dxa"/>
              <w:left w:w="0" w:type="dxa"/>
              <w:bottom w:w="0" w:type="dxa"/>
              <w:right w:w="0" w:type="dxa"/>
            </w:tcMar>
            <w:vAlign w:val="center"/>
          </w:tcPr>
          <w:p w14:paraId="4C910134" w14:textId="77777777" w:rsidR="001F2076" w:rsidRDefault="007F3B32">
            <w:pPr>
              <w:spacing w:before="100" w:after="100"/>
              <w:ind w:left="100" w:right="100"/>
            </w:pPr>
            <w:r>
              <w:rPr>
                <w:rFonts w:ascii="Arial" w:eastAsia="Arial" w:hAnsi="Arial" w:cs="Arial"/>
                <w:color w:val="000000"/>
                <w:sz w:val="18"/>
                <w:szCs w:val="18"/>
              </w:rPr>
              <w:t>Very low or zero / Input error / Unmeasured (premature death)</w:t>
            </w:r>
          </w:p>
        </w:tc>
        <w:tc>
          <w:tcPr>
            <w:tcW w:w="1800" w:type="dxa"/>
            <w:shd w:val="clear" w:color="auto" w:fill="EFEFEF"/>
            <w:tcMar>
              <w:top w:w="0" w:type="dxa"/>
              <w:left w:w="0" w:type="dxa"/>
              <w:bottom w:w="0" w:type="dxa"/>
              <w:right w:w="0" w:type="dxa"/>
            </w:tcMar>
            <w:vAlign w:val="center"/>
          </w:tcPr>
          <w:p w14:paraId="71E80985" w14:textId="77777777" w:rsidR="001F2076" w:rsidRDefault="007F3B32">
            <w:pPr>
              <w:spacing w:before="100" w:after="100"/>
              <w:ind w:left="100" w:right="100"/>
            </w:pPr>
            <w:r>
              <w:rPr>
                <w:rFonts w:ascii="Arial" w:eastAsia="Arial" w:hAnsi="Arial" w:cs="Arial"/>
                <w:color w:val="000000"/>
                <w:sz w:val="18"/>
                <w:szCs w:val="18"/>
              </w:rPr>
              <w:t>MNAR/MAR</w:t>
            </w:r>
          </w:p>
        </w:tc>
        <w:tc>
          <w:tcPr>
            <w:tcW w:w="1800" w:type="dxa"/>
            <w:shd w:val="clear" w:color="auto" w:fill="EFEFEF"/>
            <w:tcMar>
              <w:top w:w="0" w:type="dxa"/>
              <w:left w:w="0" w:type="dxa"/>
              <w:bottom w:w="0" w:type="dxa"/>
              <w:right w:w="0" w:type="dxa"/>
            </w:tcMar>
            <w:vAlign w:val="center"/>
          </w:tcPr>
          <w:p w14:paraId="6DC22727" w14:textId="77777777" w:rsidR="001F2076" w:rsidRDefault="007F3B32">
            <w:pPr>
              <w:spacing w:before="100" w:after="100"/>
              <w:ind w:left="100" w:right="100"/>
            </w:pPr>
            <w:r>
              <w:rPr>
                <w:rFonts w:ascii="Arial" w:eastAsia="Arial" w:hAnsi="Arial" w:cs="Arial"/>
                <w:color w:val="000000"/>
                <w:sz w:val="18"/>
                <w:szCs w:val="18"/>
              </w:rPr>
              <w:t>Manually set/Imputation</w:t>
            </w:r>
          </w:p>
        </w:tc>
      </w:tr>
      <w:tr w:rsidR="001F2076" w14:paraId="35B9C138" w14:textId="77777777">
        <w:trPr>
          <w:cantSplit/>
          <w:jc w:val="center"/>
        </w:trPr>
        <w:tc>
          <w:tcPr>
            <w:tcW w:w="1800" w:type="dxa"/>
            <w:shd w:val="clear" w:color="auto" w:fill="FFFFFF"/>
            <w:tcMar>
              <w:top w:w="0" w:type="dxa"/>
              <w:left w:w="0" w:type="dxa"/>
              <w:bottom w:w="0" w:type="dxa"/>
              <w:right w:w="0" w:type="dxa"/>
            </w:tcMar>
            <w:vAlign w:val="center"/>
          </w:tcPr>
          <w:p w14:paraId="5936B128" w14:textId="77777777" w:rsidR="001F2076" w:rsidRDefault="007F3B32">
            <w:pPr>
              <w:spacing w:before="100" w:after="100"/>
              <w:ind w:left="100" w:right="100"/>
            </w:pPr>
            <w:r>
              <w:rPr>
                <w:rFonts w:ascii="Arial" w:eastAsia="Arial" w:hAnsi="Arial" w:cs="Arial"/>
                <w:color w:val="000000"/>
                <w:sz w:val="18"/>
                <w:szCs w:val="18"/>
              </w:rPr>
              <w:t>CSF protein</w:t>
            </w:r>
          </w:p>
        </w:tc>
        <w:tc>
          <w:tcPr>
            <w:tcW w:w="1800" w:type="dxa"/>
            <w:shd w:val="clear" w:color="auto" w:fill="FFFFFF"/>
            <w:tcMar>
              <w:top w:w="0" w:type="dxa"/>
              <w:left w:w="0" w:type="dxa"/>
              <w:bottom w:w="0" w:type="dxa"/>
              <w:right w:w="0" w:type="dxa"/>
            </w:tcMar>
            <w:vAlign w:val="center"/>
          </w:tcPr>
          <w:p w14:paraId="22372765" w14:textId="77777777" w:rsidR="001F2076" w:rsidRDefault="007F3B32">
            <w:pPr>
              <w:spacing w:before="100" w:after="100"/>
              <w:ind w:left="100" w:right="100"/>
              <w:jc w:val="right"/>
            </w:pPr>
            <w:r>
              <w:rPr>
                <w:rFonts w:ascii="Arial" w:eastAsia="Arial" w:hAnsi="Arial" w:cs="Arial"/>
                <w:color w:val="000000"/>
                <w:sz w:val="18"/>
                <w:szCs w:val="18"/>
              </w:rPr>
              <w:t>2</w:t>
            </w:r>
          </w:p>
        </w:tc>
        <w:tc>
          <w:tcPr>
            <w:tcW w:w="1800" w:type="dxa"/>
            <w:shd w:val="clear" w:color="auto" w:fill="FFFFFF"/>
            <w:tcMar>
              <w:top w:w="0" w:type="dxa"/>
              <w:left w:w="0" w:type="dxa"/>
              <w:bottom w:w="0" w:type="dxa"/>
              <w:right w:w="0" w:type="dxa"/>
            </w:tcMar>
            <w:vAlign w:val="center"/>
          </w:tcPr>
          <w:p w14:paraId="38EF1BB1" w14:textId="77777777" w:rsidR="001F2076" w:rsidRDefault="007F3B32">
            <w:pPr>
              <w:spacing w:before="100" w:after="100"/>
              <w:ind w:left="100" w:right="100"/>
            </w:pPr>
            <w:r>
              <w:rPr>
                <w:rFonts w:ascii="Arial" w:eastAsia="Arial" w:hAnsi="Arial" w:cs="Arial"/>
                <w:color w:val="000000"/>
                <w:sz w:val="18"/>
                <w:szCs w:val="18"/>
              </w:rPr>
              <w:t xml:space="preserve">Data input error / </w:t>
            </w:r>
            <w:proofErr w:type="gramStart"/>
            <w:r>
              <w:rPr>
                <w:rFonts w:ascii="Arial" w:eastAsia="Arial" w:hAnsi="Arial" w:cs="Arial"/>
                <w:color w:val="000000"/>
                <w:sz w:val="18"/>
                <w:szCs w:val="18"/>
              </w:rPr>
              <w:t>Unmeasured(</w:t>
            </w:r>
            <w:proofErr w:type="gramEnd"/>
            <w:r>
              <w:rPr>
                <w:rFonts w:ascii="Arial" w:eastAsia="Arial" w:hAnsi="Arial" w:cs="Arial"/>
                <w:color w:val="000000"/>
                <w:sz w:val="18"/>
                <w:szCs w:val="18"/>
              </w:rPr>
              <w:t>premature death)</w:t>
            </w:r>
          </w:p>
        </w:tc>
        <w:tc>
          <w:tcPr>
            <w:tcW w:w="1800" w:type="dxa"/>
            <w:shd w:val="clear" w:color="auto" w:fill="FFFFFF"/>
            <w:tcMar>
              <w:top w:w="0" w:type="dxa"/>
              <w:left w:w="0" w:type="dxa"/>
              <w:bottom w:w="0" w:type="dxa"/>
              <w:right w:w="0" w:type="dxa"/>
            </w:tcMar>
            <w:vAlign w:val="center"/>
          </w:tcPr>
          <w:p w14:paraId="48063283" w14:textId="77777777" w:rsidR="001F2076" w:rsidRDefault="007F3B32">
            <w:pPr>
              <w:spacing w:before="100" w:after="100"/>
              <w:ind w:left="100" w:right="100"/>
            </w:pPr>
            <w:r>
              <w:rPr>
                <w:rFonts w:ascii="Arial" w:eastAsia="Arial" w:hAnsi="Arial" w:cs="Arial"/>
                <w:color w:val="000000"/>
                <w:sz w:val="18"/>
                <w:szCs w:val="18"/>
              </w:rPr>
              <w:t>MAR/MCAR</w:t>
            </w:r>
          </w:p>
        </w:tc>
        <w:tc>
          <w:tcPr>
            <w:tcW w:w="1800" w:type="dxa"/>
            <w:shd w:val="clear" w:color="auto" w:fill="FFFFFF"/>
            <w:tcMar>
              <w:top w:w="0" w:type="dxa"/>
              <w:left w:w="0" w:type="dxa"/>
              <w:bottom w:w="0" w:type="dxa"/>
              <w:right w:w="0" w:type="dxa"/>
            </w:tcMar>
            <w:vAlign w:val="center"/>
          </w:tcPr>
          <w:p w14:paraId="30CCA3EE"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67D678BA" w14:textId="77777777">
        <w:trPr>
          <w:cantSplit/>
          <w:jc w:val="center"/>
        </w:trPr>
        <w:tc>
          <w:tcPr>
            <w:tcW w:w="1800" w:type="dxa"/>
            <w:shd w:val="clear" w:color="auto" w:fill="EFEFEF"/>
            <w:tcMar>
              <w:top w:w="0" w:type="dxa"/>
              <w:left w:w="0" w:type="dxa"/>
              <w:bottom w:w="0" w:type="dxa"/>
              <w:right w:w="0" w:type="dxa"/>
            </w:tcMar>
            <w:vAlign w:val="center"/>
          </w:tcPr>
          <w:p w14:paraId="3236606E" w14:textId="77777777" w:rsidR="001F2076" w:rsidRDefault="007F3B32">
            <w:pPr>
              <w:spacing w:before="100" w:after="100"/>
              <w:ind w:left="100" w:right="100"/>
            </w:pPr>
            <w:r>
              <w:rPr>
                <w:rFonts w:ascii="Arial" w:eastAsia="Arial" w:hAnsi="Arial" w:cs="Arial"/>
                <w:color w:val="000000"/>
                <w:sz w:val="18"/>
                <w:szCs w:val="18"/>
              </w:rPr>
              <w:lastRenderedPageBreak/>
              <w:t>CSF lactate</w:t>
            </w:r>
          </w:p>
        </w:tc>
        <w:tc>
          <w:tcPr>
            <w:tcW w:w="1800" w:type="dxa"/>
            <w:shd w:val="clear" w:color="auto" w:fill="EFEFEF"/>
            <w:tcMar>
              <w:top w:w="0" w:type="dxa"/>
              <w:left w:w="0" w:type="dxa"/>
              <w:bottom w:w="0" w:type="dxa"/>
              <w:right w:w="0" w:type="dxa"/>
            </w:tcMar>
            <w:vAlign w:val="center"/>
          </w:tcPr>
          <w:p w14:paraId="6B1E22B1" w14:textId="77777777"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EFEFEF"/>
            <w:tcMar>
              <w:top w:w="0" w:type="dxa"/>
              <w:left w:w="0" w:type="dxa"/>
              <w:bottom w:w="0" w:type="dxa"/>
              <w:right w:w="0" w:type="dxa"/>
            </w:tcMar>
            <w:vAlign w:val="center"/>
          </w:tcPr>
          <w:p w14:paraId="7E25CC1E" w14:textId="77777777" w:rsidR="001F2076" w:rsidRDefault="007F3B32">
            <w:pPr>
              <w:spacing w:before="100" w:after="100"/>
              <w:ind w:left="100" w:right="100"/>
            </w:pPr>
            <w:proofErr w:type="gramStart"/>
            <w:r>
              <w:rPr>
                <w:rFonts w:ascii="Arial" w:eastAsia="Arial" w:hAnsi="Arial" w:cs="Arial"/>
                <w:color w:val="000000"/>
                <w:sz w:val="18"/>
                <w:szCs w:val="18"/>
              </w:rPr>
              <w:t>Unmeasured(</w:t>
            </w:r>
            <w:proofErr w:type="gramEnd"/>
            <w:r>
              <w:rPr>
                <w:rFonts w:ascii="Arial" w:eastAsia="Arial" w:hAnsi="Arial" w:cs="Arial"/>
                <w:color w:val="000000"/>
                <w:sz w:val="18"/>
                <w:szCs w:val="18"/>
              </w:rPr>
              <w:t>premature death)</w:t>
            </w:r>
          </w:p>
        </w:tc>
        <w:tc>
          <w:tcPr>
            <w:tcW w:w="1800" w:type="dxa"/>
            <w:shd w:val="clear" w:color="auto" w:fill="EFEFEF"/>
            <w:tcMar>
              <w:top w:w="0" w:type="dxa"/>
              <w:left w:w="0" w:type="dxa"/>
              <w:bottom w:w="0" w:type="dxa"/>
              <w:right w:w="0" w:type="dxa"/>
            </w:tcMar>
            <w:vAlign w:val="center"/>
          </w:tcPr>
          <w:p w14:paraId="0B14A9CA" w14:textId="77777777" w:rsidR="001F2076" w:rsidRDefault="007F3B32">
            <w:pPr>
              <w:spacing w:before="100" w:after="100"/>
              <w:ind w:left="100" w:right="100"/>
            </w:pPr>
            <w:r>
              <w:rPr>
                <w:rFonts w:ascii="Arial" w:eastAsia="Arial" w:hAnsi="Arial" w:cs="Arial"/>
                <w:color w:val="000000"/>
                <w:sz w:val="18"/>
                <w:szCs w:val="18"/>
              </w:rPr>
              <w:t>MAR/MCAR</w:t>
            </w:r>
          </w:p>
        </w:tc>
        <w:tc>
          <w:tcPr>
            <w:tcW w:w="1800" w:type="dxa"/>
            <w:shd w:val="clear" w:color="auto" w:fill="EFEFEF"/>
            <w:tcMar>
              <w:top w:w="0" w:type="dxa"/>
              <w:left w:w="0" w:type="dxa"/>
              <w:bottom w:w="0" w:type="dxa"/>
              <w:right w:w="0" w:type="dxa"/>
            </w:tcMar>
            <w:vAlign w:val="center"/>
          </w:tcPr>
          <w:p w14:paraId="32C26CD8" w14:textId="77777777" w:rsidR="001F2076" w:rsidRDefault="007F3B32">
            <w:pPr>
              <w:spacing w:before="100" w:after="100"/>
              <w:ind w:left="100" w:right="100"/>
            </w:pPr>
            <w:r>
              <w:rPr>
                <w:rFonts w:ascii="Arial" w:eastAsia="Arial" w:hAnsi="Arial" w:cs="Arial"/>
                <w:color w:val="000000"/>
                <w:sz w:val="18"/>
                <w:szCs w:val="18"/>
              </w:rPr>
              <w:t>Imputation</w:t>
            </w:r>
          </w:p>
        </w:tc>
      </w:tr>
      <w:tr w:rsidR="001F2076" w14:paraId="3B5E46F7" w14:textId="77777777">
        <w:trPr>
          <w:cantSplit/>
          <w:jc w:val="center"/>
        </w:trPr>
        <w:tc>
          <w:tcPr>
            <w:tcW w:w="1800" w:type="dxa"/>
            <w:shd w:val="clear" w:color="auto" w:fill="FFFFFF"/>
            <w:tcMar>
              <w:top w:w="0" w:type="dxa"/>
              <w:left w:w="0" w:type="dxa"/>
              <w:bottom w:w="0" w:type="dxa"/>
              <w:right w:w="0" w:type="dxa"/>
            </w:tcMar>
            <w:vAlign w:val="center"/>
          </w:tcPr>
          <w:p w14:paraId="29E264BE" w14:textId="77777777" w:rsidR="001F2076" w:rsidRDefault="007F3B32">
            <w:pPr>
              <w:spacing w:before="100" w:after="100"/>
              <w:ind w:left="100" w:right="100"/>
            </w:pPr>
            <w:r>
              <w:rPr>
                <w:rFonts w:ascii="Arial" w:eastAsia="Arial" w:hAnsi="Arial" w:cs="Arial"/>
                <w:color w:val="000000"/>
                <w:sz w:val="18"/>
                <w:szCs w:val="18"/>
              </w:rPr>
              <w:t xml:space="preserve">CSF </w:t>
            </w:r>
            <w:proofErr w:type="spellStart"/>
            <w:r>
              <w:rPr>
                <w:rFonts w:ascii="Arial" w:eastAsia="Arial" w:hAnsi="Arial" w:cs="Arial"/>
                <w:color w:val="000000"/>
                <w:sz w:val="18"/>
                <w:szCs w:val="18"/>
              </w:rPr>
              <w:t>oseosinophil</w:t>
            </w:r>
            <w:proofErr w:type="spellEnd"/>
            <w:r>
              <w:rPr>
                <w:rFonts w:ascii="Arial" w:eastAsia="Arial" w:hAnsi="Arial" w:cs="Arial"/>
                <w:color w:val="000000"/>
                <w:sz w:val="18"/>
                <w:szCs w:val="18"/>
              </w:rPr>
              <w:t xml:space="preserve"> count</w:t>
            </w:r>
            <w:r>
              <w:rPr>
                <w:rFonts w:ascii="Arial" w:eastAsia="Arial" w:hAnsi="Arial" w:cs="Arial"/>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14:paraId="6D3F9973" w14:textId="77777777"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FFFFFF"/>
            <w:tcMar>
              <w:top w:w="0" w:type="dxa"/>
              <w:left w:w="0" w:type="dxa"/>
              <w:bottom w:w="0" w:type="dxa"/>
              <w:right w:w="0" w:type="dxa"/>
            </w:tcMar>
            <w:vAlign w:val="center"/>
          </w:tcPr>
          <w:p w14:paraId="3BEEB51B" w14:textId="77777777" w:rsidR="001F2076" w:rsidRDefault="007F3B32">
            <w:pPr>
              <w:spacing w:before="100" w:after="100"/>
              <w:ind w:left="100" w:right="100"/>
            </w:pPr>
            <w:r>
              <w:rPr>
                <w:rFonts w:ascii="Arial" w:eastAsia="Arial" w:hAnsi="Arial" w:cs="Arial"/>
                <w:color w:val="000000"/>
                <w:sz w:val="18"/>
                <w:szCs w:val="18"/>
              </w:rPr>
              <w:t>Zero cell count</w:t>
            </w:r>
          </w:p>
        </w:tc>
        <w:tc>
          <w:tcPr>
            <w:tcW w:w="1800" w:type="dxa"/>
            <w:shd w:val="clear" w:color="auto" w:fill="FFFFFF"/>
            <w:tcMar>
              <w:top w:w="0" w:type="dxa"/>
              <w:left w:w="0" w:type="dxa"/>
              <w:bottom w:w="0" w:type="dxa"/>
              <w:right w:w="0" w:type="dxa"/>
            </w:tcMar>
            <w:vAlign w:val="center"/>
          </w:tcPr>
          <w:p w14:paraId="4FA6AF0A" w14:textId="77777777" w:rsidR="001F2076" w:rsidRDefault="007F3B32">
            <w:pPr>
              <w:spacing w:before="100" w:after="100"/>
              <w:ind w:left="100" w:right="100"/>
            </w:pPr>
            <w:r>
              <w:rPr>
                <w:rFonts w:ascii="Arial" w:eastAsia="Arial" w:hAnsi="Arial" w:cs="Arial"/>
                <w:color w:val="000000"/>
                <w:sz w:val="18"/>
                <w:szCs w:val="18"/>
              </w:rPr>
              <w:t>MNAR</w:t>
            </w:r>
          </w:p>
        </w:tc>
        <w:tc>
          <w:tcPr>
            <w:tcW w:w="1800" w:type="dxa"/>
            <w:shd w:val="clear" w:color="auto" w:fill="FFFFFF"/>
            <w:tcMar>
              <w:top w:w="0" w:type="dxa"/>
              <w:left w:w="0" w:type="dxa"/>
              <w:bottom w:w="0" w:type="dxa"/>
              <w:right w:w="0" w:type="dxa"/>
            </w:tcMar>
            <w:vAlign w:val="center"/>
          </w:tcPr>
          <w:p w14:paraId="4895F17E" w14:textId="77777777" w:rsidR="001F2076" w:rsidRDefault="007F3B32">
            <w:pPr>
              <w:spacing w:before="100" w:after="100"/>
              <w:ind w:left="100" w:right="100"/>
            </w:pPr>
            <w:r>
              <w:rPr>
                <w:rFonts w:ascii="Arial" w:eastAsia="Arial" w:hAnsi="Arial" w:cs="Arial"/>
                <w:color w:val="000000"/>
                <w:sz w:val="18"/>
                <w:szCs w:val="18"/>
              </w:rPr>
              <w:t>Set = 0</w:t>
            </w:r>
          </w:p>
        </w:tc>
      </w:tr>
      <w:tr w:rsidR="001F2076" w14:paraId="528D5F8C" w14:textId="77777777">
        <w:trPr>
          <w:cantSplit/>
          <w:jc w:val="center"/>
        </w:trPr>
        <w:tc>
          <w:tcPr>
            <w:tcW w:w="9000" w:type="dxa"/>
            <w:gridSpan w:val="5"/>
            <w:shd w:val="clear" w:color="auto" w:fill="CFCFCF"/>
            <w:tcMar>
              <w:top w:w="0" w:type="dxa"/>
              <w:left w:w="0" w:type="dxa"/>
              <w:bottom w:w="0" w:type="dxa"/>
              <w:right w:w="0" w:type="dxa"/>
            </w:tcMar>
            <w:vAlign w:val="center"/>
          </w:tcPr>
          <w:p w14:paraId="2AD5438E" w14:textId="77777777" w:rsidR="001F2076" w:rsidRDefault="007F3B32">
            <w:pPr>
              <w:spacing w:before="100" w:after="100"/>
              <w:ind w:left="100" w:right="100"/>
            </w:pPr>
            <w:r>
              <w:rPr>
                <w:rFonts w:ascii="Arial" w:eastAsia="Arial" w:hAnsi="Arial" w:cs="Arial"/>
                <w:b/>
                <w:color w:val="000000"/>
                <w:sz w:val="18"/>
                <w:szCs w:val="18"/>
                <w:vertAlign w:val="superscript"/>
              </w:rPr>
              <w:t>1</w:t>
            </w:r>
            <w:r>
              <w:rPr>
                <w:rFonts w:ascii="Arial" w:eastAsia="Arial" w:hAnsi="Arial" w:cs="Arial"/>
                <w:b/>
                <w:color w:val="000000"/>
                <w:sz w:val="18"/>
                <w:szCs w:val="18"/>
              </w:rPr>
              <w:t xml:space="preserve">CSF Cell counts are calculated as CSF white-cell count * Pct of Cell Type / 100; if very low, then either lymphocytes or neutrophils had values, the other were left missing; Missing </w:t>
            </w:r>
            <w:proofErr w:type="spellStart"/>
            <w:r>
              <w:rPr>
                <w:rFonts w:ascii="Arial" w:eastAsia="Arial" w:hAnsi="Arial" w:cs="Arial"/>
                <w:b/>
                <w:color w:val="000000"/>
                <w:sz w:val="18"/>
                <w:szCs w:val="18"/>
              </w:rPr>
              <w:t>oeosinophil</w:t>
            </w:r>
            <w:proofErr w:type="spellEnd"/>
            <w:r>
              <w:rPr>
                <w:rFonts w:ascii="Arial" w:eastAsia="Arial" w:hAnsi="Arial" w:cs="Arial"/>
                <w:b/>
                <w:color w:val="000000"/>
                <w:sz w:val="18"/>
                <w:szCs w:val="18"/>
              </w:rPr>
              <w:t xml:space="preserve"> count implies 0 cell.</w:t>
            </w:r>
          </w:p>
        </w:tc>
      </w:tr>
    </w:tbl>
    <w:p w14:paraId="14976A35" w14:textId="77777777" w:rsidR="001F2076" w:rsidRDefault="007F3B32">
      <w:pPr>
        <w:pStyle w:val="BodyText"/>
      </w:pPr>
      <w:r>
        <w:t xml:space="preserve">We summaries our rationales and corresponding handling strategies in table </w:t>
      </w:r>
      <w:hyperlink w:anchor="missing-handling">
        <w:r>
          <w:fldChar w:fldCharType="begin"/>
        </w:r>
        <w:r>
          <w:instrText xml:space="preserve"> REF missing-handling \h</w:instrText>
        </w:r>
        <w:r>
          <w:fldChar w:fldCharType="end"/>
        </w:r>
      </w:hyperlink>
      <w:r>
        <w:t xml:space="preserve">. In the case where missing values were imputed, figure </w:t>
      </w:r>
      <w:hyperlink w:anchor="impute-model">
        <w:r>
          <w:fldChar w:fldCharType="begin"/>
        </w:r>
        <w:r>
          <w:instrText xml:space="preserve"> REF impute-model \h</w:instrText>
        </w:r>
        <w:r>
          <w:fldChar w:fldCharType="end"/>
        </w:r>
      </w:hyperlink>
      <w:r>
        <w:t xml:space="preserve"> depicts how those were sampled, together with their potential hyper-predictors. Note that due to Hamiltonian Monte Carlo (HMC)’s limitation, imputed </w:t>
      </w:r>
      <w:proofErr w:type="spellStart"/>
      <w:r>
        <w:t>LoGCS</w:t>
      </w:r>
      <w:proofErr w:type="spellEnd"/>
      <w:r>
        <w:t xml:space="preserve"> were treated as-is in sampling </w:t>
      </w:r>
      <w:proofErr w:type="gramStart"/>
      <w:r>
        <w:t>process, but</w:t>
      </w:r>
      <w:proofErr w:type="gramEnd"/>
      <w:r>
        <w:t xml:space="preserve"> were rounded when estimating model performance.</w:t>
      </w:r>
    </w:p>
    <w:p w14:paraId="0FD23FC2" w14:textId="77777777" w:rsidR="001F2076" w:rsidRDefault="007F3B32">
      <w:pPr>
        <w:pStyle w:val="Figure"/>
      </w:pPr>
      <w:r>
        <w:rPr>
          <w:noProof/>
          <w:lang w:val="en-GB" w:eastAsia="en-GB"/>
        </w:rPr>
        <w:drawing>
          <wp:inline distT="0" distB="0" distL="0" distR="0" wp14:anchorId="0AD12ADF" wp14:editId="15665DDE">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14:paraId="0FE4BA6A" w14:textId="77777777" w:rsidR="001F2076" w:rsidRDefault="007F3B32">
      <w:pPr>
        <w:pStyle w:val="ImageCaption"/>
      </w:pPr>
      <w:r>
        <w:t xml:space="preserve">Figure </w:t>
      </w:r>
      <w:bookmarkStart w:id="15" w:name="impute-model"/>
      <w:r>
        <w:fldChar w:fldCharType="begin"/>
      </w:r>
      <w:r>
        <w:instrText>SEQ fig \* Arabic</w:instrText>
      </w:r>
      <w:r>
        <w:fldChar w:fldCharType="end"/>
      </w:r>
      <w:bookmarkEnd w:id="15"/>
      <w:r>
        <w:t xml:space="preserve">: Imputation strategy for predictors. Variables in rectangular solid boxes were used in the model, in oval dashed were either compartments of composite ones or only contributed </w:t>
      </w:r>
      <w:proofErr w:type="gramStart"/>
      <w:r>
        <w:t>in</w:t>
      </w:r>
      <w:proofErr w:type="gramEnd"/>
      <w:r>
        <w:t xml:space="preserve"> the imputation model and were not included in the main model. Clustered covariables were imputed together in a multivariate regression. Arrows demonstrate a predictor-response correlation.</w:t>
      </w:r>
    </w:p>
    <w:p w14:paraId="54D02C2E" w14:textId="77777777" w:rsidR="001F2076" w:rsidRDefault="007F3B32">
      <w:pPr>
        <w:pStyle w:val="Heading3"/>
      </w:pPr>
      <w:bookmarkStart w:id="16" w:name="prior-choices"/>
      <w:bookmarkEnd w:id="12"/>
      <w:bookmarkEnd w:id="14"/>
      <w:r>
        <w:lastRenderedPageBreak/>
        <w:t>Prior choices</w:t>
      </w:r>
    </w:p>
    <w:p w14:paraId="513BB8FA" w14:textId="77777777" w:rsidR="001F2076" w:rsidRDefault="007F3B32">
      <w:pPr>
        <w:pStyle w:val="FirstParagraph"/>
      </w:pPr>
      <w:r>
        <w:t xml:space="preserve">Following Gelman’s recommendations (Stan Development Team n.d.), we chose </w:t>
      </w:r>
      <m:oMath>
        <m:r>
          <w:rPr>
            <w:rFonts w:ascii="Cambria Math" w:hAnsi="Cambria Math"/>
          </w:rPr>
          <m:t>Normal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2.5</m:t>
        </m:r>
        <m:r>
          <m:rPr>
            <m:sty m:val="p"/>
          </m:rPr>
          <w:rPr>
            <w:rFonts w:ascii="Cambria Math" w:hAnsi="Cambria Math"/>
          </w:rPr>
          <m:t>)</m:t>
        </m:r>
      </m:oMath>
      <w:r>
        <w:t xml:space="preserve"> as prior distributions for all intercepts and coefficients in the imputation model, except for LoGCS (E, V, and M) as their supports were constrained to [0,1]; in the latter case, </w:t>
      </w:r>
      <m:oMath>
        <m:r>
          <w:rPr>
            <w:rFonts w:ascii="Cambria Math" w:hAnsi="Cambria Math"/>
          </w:rPr>
          <m:t>Uniform</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was chosen instead for the means, and </w:t>
      </w:r>
      <m:oMath>
        <m:r>
          <w:rPr>
            <w:rFonts w:ascii="Cambria Math" w:hAnsi="Cambria Math"/>
          </w:rPr>
          <m:t>Normal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for the standard deviation.</w:t>
      </w:r>
    </w:p>
    <w:p w14:paraId="7B34279B" w14:textId="77777777" w:rsidR="001F2076" w:rsidRDefault="007F3B32">
      <w:pPr>
        <w:pStyle w:val="BodyText"/>
      </w:pPr>
      <w:r>
        <w:t xml:space="preserve">Cholesky decomposition of the covariance matrix was sampled from a </w:t>
      </w:r>
      <w:r>
        <w:rPr>
          <w:i/>
          <w:iCs/>
        </w:rPr>
        <w:t>LKJ Correlation Cholesky</w:t>
      </w:r>
      <w:r>
        <w:t xml:space="preserve"> prior with </w:t>
      </w:r>
      <m:oMath>
        <m:r>
          <w:rPr>
            <w:rFonts w:ascii="Cambria Math" w:hAnsi="Cambria Math"/>
          </w:rPr>
          <m:t>scale</m:t>
        </m:r>
        <m:r>
          <m:rPr>
            <m:sty m:val="p"/>
          </m:rPr>
          <w:rPr>
            <w:rFonts w:ascii="Cambria Math" w:hAnsi="Cambria Math"/>
          </w:rPr>
          <m:t>=</m:t>
        </m:r>
        <m:r>
          <w:rPr>
            <w:rFonts w:ascii="Cambria Math" w:hAnsi="Cambria Math"/>
          </w:rPr>
          <m:t>4</m:t>
        </m:r>
      </m:oMath>
      <w:r>
        <w:t xml:space="preserve"> (Stan Development Team 2021b):</w:t>
      </w:r>
    </w:p>
    <w:p w14:paraId="1AE06EE1" w14:textId="77777777" w:rsidR="001F2076" w:rsidRDefault="007F3B32">
      <w:pPr>
        <w:pStyle w:val="BodyText"/>
      </w:pPr>
      <m:oMathPara>
        <m:oMathParaPr>
          <m:jc m:val="center"/>
        </m:oMathParaPr>
        <m:oMath>
          <m:r>
            <w:rPr>
              <w:rFonts w:ascii="Cambria Math" w:hAnsi="Cambria Math"/>
            </w:rPr>
            <m:t>L</m:t>
          </m:r>
          <m:r>
            <m:rPr>
              <m:sty m:val="p"/>
            </m:rPr>
            <w:rPr>
              <w:rFonts w:ascii="Cambria Math" w:hAnsi="Cambria Math"/>
            </w:rPr>
            <m:t>∼</m:t>
          </m:r>
          <m:r>
            <w:rPr>
              <w:rFonts w:ascii="Cambria Math" w:hAnsi="Cambria Math"/>
            </w:rPr>
            <m:t>LKJCorrCholesky</m:t>
          </m:r>
          <m:r>
            <m:rPr>
              <m:sty m:val="p"/>
            </m:rPr>
            <w:rPr>
              <w:rFonts w:ascii="Cambria Math" w:hAnsi="Cambria Math"/>
            </w:rPr>
            <m:t>(</m:t>
          </m:r>
          <m:r>
            <w:rPr>
              <w:rFonts w:ascii="Cambria Math" w:hAnsi="Cambria Math"/>
            </w:rPr>
            <m:t>4</m:t>
          </m:r>
          <m:r>
            <m:rPr>
              <m:sty m:val="p"/>
            </m:rPr>
            <w:rPr>
              <w:rFonts w:ascii="Cambria Math" w:hAnsi="Cambria Math"/>
            </w:rPr>
            <m:t>);</m:t>
          </m:r>
        </m:oMath>
      </m:oMathPara>
    </w:p>
    <w:p w14:paraId="2F0A7419" w14:textId="77777777" w:rsidR="001F2076" w:rsidRDefault="007F3B32">
      <w:pPr>
        <w:pStyle w:val="FirstParagraph"/>
      </w:pPr>
      <w:r>
        <w:t xml:space="preserve">In every linear sub-model of main one, we used </w:t>
      </w:r>
      <m:oMath>
        <m:sSub>
          <m:sSubPr>
            <m:ctrlPr>
              <w:rPr>
                <w:rFonts w:ascii="Cambria Math" w:hAnsi="Cambria Math"/>
              </w:rPr>
            </m:ctrlPr>
          </m:sSubPr>
          <m:e>
            <m:r>
              <w:rPr>
                <w:rFonts w:ascii="Cambria Math" w:hAnsi="Cambria Math"/>
              </w:rPr>
              <m:t>t</m:t>
            </m:r>
          </m:e>
          <m:sub>
            <m:r>
              <w:rPr>
                <w:rFonts w:ascii="Cambria Math" w:hAnsi="Cambria Math"/>
              </w:rPr>
              <m:t>4</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for the intercept on which we impose our weak expectation that its absolute value cannot be higher than 10 (Boonstra, Barbaro, and Sen 2019). For the covariates, we considered several sets of </w:t>
      </w:r>
      <w:proofErr w:type="gramStart"/>
      <w:r>
        <w:t>prior</w:t>
      </w:r>
      <w:proofErr w:type="gramEnd"/>
      <w:r>
        <w:t xml:space="preserve"> representing a spectrum of penalties bestowed upon the model (van </w:t>
      </w:r>
      <w:proofErr w:type="spellStart"/>
      <w:r>
        <w:t>Erp</w:t>
      </w:r>
      <w:proofErr w:type="spellEnd"/>
      <w:r>
        <w:t xml:space="preserve">, </w:t>
      </w:r>
      <w:proofErr w:type="spellStart"/>
      <w:r>
        <w:t>Oberski</w:t>
      </w:r>
      <w:proofErr w:type="spellEnd"/>
      <w:r>
        <w:t>, and Mulder 2019):</w:t>
      </w:r>
    </w:p>
    <w:p w14:paraId="3F14AC10" w14:textId="77777777" w:rsidR="001F2076" w:rsidRDefault="007F3B32" w:rsidP="00297C2B">
      <w:pPr>
        <w:numPr>
          <w:ilvl w:val="0"/>
          <w:numId w:val="8"/>
        </w:numPr>
      </w:pPr>
      <w:r>
        <w:t xml:space="preserve">Weakly informative prior: </w:t>
      </w:r>
      <m:oMath>
        <m:sSub>
          <m:sSubPr>
            <m:ctrlPr>
              <w:rPr>
                <w:rFonts w:ascii="Cambria Math" w:hAnsi="Cambria Math"/>
              </w:rPr>
            </m:ctrlPr>
          </m:sSubPr>
          <m:e>
            <m:r>
              <w:rPr>
                <w:rFonts w:ascii="Cambria Math" w:hAnsi="Cambria Math"/>
              </w:rPr>
              <m:t>t</m:t>
            </m:r>
          </m:e>
          <m:sub>
            <m:r>
              <w:rPr>
                <w:rFonts w:ascii="Cambria Math" w:hAnsi="Cambria Math"/>
              </w:rPr>
              <m:t>4</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s</m:t>
        </m:r>
        <m:r>
          <m:rPr>
            <m:sty m:val="p"/>
          </m:rPr>
          <w:rPr>
            <w:rFonts w:ascii="Cambria Math" w:hAnsi="Cambria Math"/>
          </w:rPr>
          <m:t>)</m:t>
        </m:r>
      </m:oMath>
    </w:p>
    <w:p w14:paraId="1719B882" w14:textId="77777777" w:rsidR="001F2076" w:rsidRDefault="007F3B32" w:rsidP="00297C2B">
      <w:pPr>
        <w:numPr>
          <w:ilvl w:val="0"/>
          <w:numId w:val="8"/>
        </w:numPr>
      </w:pPr>
      <w:r>
        <w:t xml:space="preserve">Ridge-equivalent prior: </w:t>
      </w:r>
      <m:oMath>
        <m:r>
          <w:rPr>
            <w:rFonts w:ascii="Cambria Math" w:hAnsi="Cambria Math"/>
          </w:rPr>
          <m:t>Normal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s</m:t>
        </m:r>
        <m:r>
          <m:rPr>
            <m:sty m:val="p"/>
          </m:rPr>
          <w:rPr>
            <w:rFonts w:ascii="Cambria Math" w:hAnsi="Cambria Math"/>
          </w:rPr>
          <m:t>)</m:t>
        </m:r>
      </m:oMath>
    </w:p>
    <w:p w14:paraId="50C80CC5" w14:textId="77777777" w:rsidR="001F2076" w:rsidRDefault="007F3B32" w:rsidP="00297C2B">
      <w:pPr>
        <w:numPr>
          <w:ilvl w:val="0"/>
          <w:numId w:val="8"/>
        </w:numPr>
      </w:pPr>
      <w:r>
        <w:t xml:space="preserve">LASSO-equivalent prior: </w:t>
      </w:r>
      <m:oMath>
        <m:r>
          <w:rPr>
            <w:rFonts w:ascii="Cambria Math" w:hAnsi="Cambria Math"/>
          </w:rPr>
          <m:t>DoubleExponential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s</m:t>
        </m:r>
        <m:r>
          <m:rPr>
            <m:sty m:val="p"/>
          </m:rPr>
          <w:rPr>
            <w:rFonts w:ascii="Cambria Math" w:hAnsi="Cambria Math"/>
          </w:rPr>
          <m:t>)</m:t>
        </m:r>
      </m:oMath>
    </w:p>
    <w:p w14:paraId="259ECE97" w14:textId="77777777" w:rsidR="001F2076" w:rsidRDefault="007F3B32" w:rsidP="00297C2B">
      <w:pPr>
        <w:numPr>
          <w:ilvl w:val="0"/>
          <w:numId w:val="4"/>
        </w:numPr>
      </w:p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Normal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 </m:t>
        </m:r>
        <m:r>
          <m:rPr>
            <m:sty m:val="p"/>
          </m:rPr>
          <w:rPr>
            <w:rFonts w:ascii="Cambria Math" w:hAnsi="Cambria Math"/>
          </w:rPr>
          <m:t>&amp;</m:t>
        </m:r>
        <m:r>
          <w:rPr>
            <w:rFonts w:ascii="Cambria Math" w:hAnsi="Cambria Math"/>
          </w:rPr>
          <m:t> s</m:t>
        </m:r>
        <m:r>
          <m:rPr>
            <m:sty m:val="p"/>
          </m:rPr>
          <w:rPr>
            <w:rFonts w:ascii="Cambria Math" w:hAnsi="Cambria Math"/>
          </w:rPr>
          <m:t>&gt;</m:t>
        </m:r>
        <m:r>
          <w:rPr>
            <w:rFonts w:ascii="Cambria Math" w:hAnsi="Cambria Math"/>
          </w:rPr>
          <m:t>0</m:t>
        </m:r>
      </m:oMath>
    </w:p>
    <w:p w14:paraId="58683558" w14:textId="77777777" w:rsidR="001F2076" w:rsidRDefault="007F3B32">
      <w:pPr>
        <w:pStyle w:val="FirstParagraph"/>
      </w:pPr>
      <w:r>
        <w:t xml:space="preserve">Coefficient for known strongly positive risk factors (marked </w:t>
      </w:r>
      <w:r>
        <w:rPr>
          <w:b/>
          <w:bCs/>
        </w:rPr>
        <w:t>++</w:t>
      </w:r>
      <w:r>
        <w:t xml:space="preserve"> in table </w:t>
      </w:r>
      <w:hyperlink w:anchor="predictor-tab">
        <w:r>
          <w:fldChar w:fldCharType="begin"/>
        </w:r>
        <w:r>
          <w:instrText xml:space="preserve"> REF predictor-tab \h</w:instrText>
        </w:r>
        <w:r>
          <w:fldChar w:fldCharType="end"/>
        </w:r>
      </w:hyperlink>
      <w:r>
        <w:t xml:space="preserve"> were specially imposed a positive Half Normal distribution. Individual random effects representing unmeasured bacillary burden was sampled from a </w:t>
      </w:r>
      <m:oMath>
        <m:r>
          <w:rPr>
            <w:rFonts w:ascii="Cambria Math" w:hAnsi="Cambria Math"/>
          </w:rPr>
          <m:t>Normal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distribution.</w:t>
      </w:r>
    </w:p>
    <w:p w14:paraId="30D35D8B" w14:textId="77777777" w:rsidR="001F2076" w:rsidRDefault="007F3B32">
      <w:pPr>
        <w:pStyle w:val="BodyText"/>
      </w:pPr>
      <w:r>
        <w:t xml:space="preserve">For manifest variables, we used highly informative priors for </w:t>
      </w:r>
      <w:r>
        <w:rPr>
          <w:i/>
          <w:iCs/>
        </w:rPr>
        <w:t>specificity (</w:t>
      </w:r>
      <w:proofErr w:type="spellStart"/>
      <w:r>
        <w:rPr>
          <w:i/>
          <w:iCs/>
        </w:rPr>
        <w:t>Spc</w:t>
      </w:r>
      <w:proofErr w:type="spellEnd"/>
      <w:r>
        <w:rPr>
          <w:i/>
          <w:iCs/>
        </w:rPr>
        <w:t>)</w:t>
      </w:r>
      <w:r>
        <w:t xml:space="preserve"> basing on previous study (</w:t>
      </w:r>
      <w:proofErr w:type="spellStart"/>
      <w:r>
        <w:t>Nhu</w:t>
      </w:r>
      <w:proofErr w:type="spellEnd"/>
      <w:r>
        <w:t xml:space="preserve"> et al. 2013) and weakly informative priors for </w:t>
      </w:r>
      <w:r>
        <w:rPr>
          <w:i/>
          <w:iCs/>
        </w:rPr>
        <w:t>sensitivity (Sen)</w:t>
      </w:r>
      <w:r>
        <w:t xml:space="preserve"> on the logit scale. These choices were </w:t>
      </w:r>
      <w:proofErr w:type="spellStart"/>
      <w:r>
        <w:t>visualised</w:t>
      </w:r>
      <w:proofErr w:type="spellEnd"/>
      <w:r>
        <w:t xml:space="preserve"> on figure </w:t>
      </w:r>
      <w:hyperlink w:anchor="mv-priors">
        <w:r>
          <w:fldChar w:fldCharType="begin"/>
        </w:r>
        <w:r>
          <w:instrText xml:space="preserve"> REF mv-priors \h</w:instrText>
        </w:r>
        <w:r>
          <w:fldChar w:fldCharType="end"/>
        </w:r>
      </w:hyperlink>
      <w:r>
        <w:t>.</w:t>
      </w:r>
    </w:p>
    <w:p w14:paraId="37B8588A" w14:textId="77777777" w:rsidR="001F2076" w:rsidRDefault="0031727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Xpert</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0.005</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MGIT</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0.001</m:t>
                </m:r>
                <m:r>
                  <m:rPr>
                    <m:sty m:val="p"/>
                  </m:rPr>
                  <w:rPr>
                    <w:rFonts w:ascii="Cambria Math" w:hAnsi="Cambria Math"/>
                  </w:rPr>
                  <m:t>),</m:t>
                </m:r>
                <m:r>
                  <w:rPr>
                    <w:rFonts w:ascii="Cambria Math" w:hAnsi="Cambria Math"/>
                  </w:rPr>
                  <m:t>.3</m:t>
                </m:r>
                <m:r>
                  <m:rPr>
                    <m:sty m:val="p"/>
                  </m:rPr>
                  <w:rPr>
                    <w:rFonts w:ascii="Cambria Math" w:hAnsi="Cambria Math"/>
                  </w:rPr>
                  <m:t>)</m:t>
                </m:r>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ZN Smear</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0.001</m:t>
                </m:r>
                <m:r>
                  <m:rPr>
                    <m:sty m:val="p"/>
                  </m:rPr>
                  <w:rPr>
                    <w:rFonts w:ascii="Cambria Math" w:hAnsi="Cambria Math"/>
                  </w:rPr>
                  <m:t>),</m:t>
                </m:r>
                <m:r>
                  <w:rPr>
                    <w:rFonts w:ascii="Cambria Math" w:hAnsi="Cambria Math"/>
                  </w:rPr>
                  <m:t>.3</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Xpert</m:t>
                    </m:r>
                    <m:r>
                      <m:rPr>
                        <m:sty m:val="p"/>
                      </m:rPr>
                      <w:rPr>
                        <w:rFonts w:ascii="Cambria Math" w:hAnsi="Cambria Math"/>
                      </w:rPr>
                      <m:t>,</m:t>
                    </m:r>
                    <m:r>
                      <w:rPr>
                        <w:rFonts w:ascii="Cambria Math" w:hAnsi="Cambria Math"/>
                      </w:rPr>
                      <m:t> MGIT</m:t>
                    </m:r>
                    <m:r>
                      <m:rPr>
                        <m:sty m:val="p"/>
                      </m:rPr>
                      <w:rPr>
                        <w:rFonts w:ascii="Cambria Math" w:hAnsi="Cambria Math"/>
                      </w:rPr>
                      <m:t>,</m:t>
                    </m:r>
                    <m:r>
                      <w:rPr>
                        <w:rFonts w:ascii="Cambria Math" w:hAnsi="Cambria Math"/>
                      </w:rPr>
                      <m:t> ZN Smear</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eq</m:t>
                </m:r>
                <m:r>
                  <m:rPr>
                    <m:sty m:val="p"/>
                  </m:rPr>
                  <w:rPr>
                    <w:rFonts w:ascii="Cambria Math" w:hAnsi="Cambria Math"/>
                  </w:rPr>
                  <m:t>:</m:t>
                </m:r>
                <m:r>
                  <w:rPr>
                    <w:rFonts w:ascii="Cambria Math" w:hAnsi="Cambria Math"/>
                  </w:rPr>
                  <m:t>priors</m:t>
                </m:r>
                <m:r>
                  <m:rPr>
                    <m:sty m:val="p"/>
                  </m:rPr>
                  <w:rPr>
                    <w:rFonts w:ascii="Cambria Math" w:hAnsi="Cambria Math"/>
                  </w:rPr>
                  <m:t>-</m:t>
                </m:r>
                <m:r>
                  <w:rPr>
                    <w:rFonts w:ascii="Cambria Math" w:hAnsi="Cambria Math"/>
                  </w:rPr>
                  <m:t>response</m:t>
                </m:r>
                <m:r>
                  <m:rPr>
                    <m:sty m:val="p"/>
                  </m:rPr>
                  <w:rPr>
                    <w:rFonts w:ascii="Cambria Math" w:hAnsi="Cambria Math"/>
                  </w:rPr>
                  <m:t>)</m:t>
                </m:r>
              </m:e>
            </m:mr>
          </m:m>
        </m:oMath>
      </m:oMathPara>
    </w:p>
    <w:p w14:paraId="36298511" w14:textId="77777777" w:rsidR="001F2076" w:rsidRDefault="007F3B32">
      <w:pPr>
        <w:pStyle w:val="Figure"/>
      </w:pPr>
      <w:r>
        <w:rPr>
          <w:noProof/>
          <w:lang w:val="en-GB" w:eastAsia="en-GB"/>
        </w:rPr>
        <w:lastRenderedPageBreak/>
        <w:drawing>
          <wp:inline distT="0" distB="0" distL="0" distR="0" wp14:anchorId="132BD19D" wp14:editId="13151DD9">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14:paraId="71E2BC55" w14:textId="77777777" w:rsidR="001F2076" w:rsidRDefault="007F3B32">
      <w:pPr>
        <w:pStyle w:val="ImageCaption"/>
      </w:pPr>
      <w:r>
        <w:t xml:space="preserve">Figure </w:t>
      </w:r>
      <w:bookmarkStart w:id="17" w:name="mv-priors"/>
      <w:r>
        <w:fldChar w:fldCharType="begin"/>
      </w:r>
      <w:r>
        <w:instrText>SEQ fig \* Arabic</w:instrText>
      </w:r>
      <w:r>
        <w:fldChar w:fldCharType="end"/>
      </w:r>
      <w:bookmarkEnd w:id="17"/>
      <w:r>
        <w:t>: Density plots for different priors. A: Logistic(</w:t>
      </w:r>
      <w:proofErr w:type="gramStart"/>
      <w:r>
        <w:t>logit(</w:t>
      </w:r>
      <w:proofErr w:type="gramEnd"/>
      <w:r>
        <w:t>.005),.7), B: Logistic(logit(.001),.3), C: Logistic(0,.5). 1: Logit scale, 2: Linear scale.</w:t>
      </w:r>
    </w:p>
    <w:p w14:paraId="225FFCF2" w14:textId="77777777" w:rsidR="001F2076" w:rsidRDefault="007F3B32">
      <w:pPr>
        <w:pStyle w:val="Heading3"/>
      </w:pPr>
      <w:bookmarkStart w:id="18" w:name="model-performances"/>
      <w:bookmarkEnd w:id="16"/>
      <w:r>
        <w:t>Model performances</w:t>
      </w:r>
    </w:p>
    <w:p w14:paraId="57779153" w14:textId="77777777" w:rsidR="001F2076" w:rsidRDefault="007F3B32">
      <w:pPr>
        <w:pStyle w:val="FirstParagraph"/>
      </w:pPr>
      <w:proofErr w:type="gramStart"/>
      <w:r>
        <w:t>Models</w:t>
      </w:r>
      <w:proofErr w:type="gramEnd"/>
      <w:r>
        <w:t xml:space="preserve"> performances were defined and compared by three metrics:</w:t>
      </w:r>
    </w:p>
    <w:p w14:paraId="210F0CF3" w14:textId="77777777" w:rsidR="001F2076" w:rsidRDefault="007F3B32" w:rsidP="00297C2B">
      <w:pPr>
        <w:numPr>
          <w:ilvl w:val="0"/>
          <w:numId w:val="9"/>
        </w:numPr>
      </w:pPr>
      <w:r>
        <w:t>Expected log point-wise predictive density (</w:t>
      </w:r>
      <w:proofErr w:type="spellStart"/>
      <w:r>
        <w:t>elpd</w:t>
      </w:r>
      <w:proofErr w:type="spellEnd"/>
      <w:r>
        <w:t>) of hold-out observations (</w:t>
      </w:r>
      <w:proofErr w:type="spellStart"/>
      <w:r>
        <w:t>Vehtari</w:t>
      </w:r>
      <w:proofErr w:type="spellEnd"/>
      <w:r>
        <w:t xml:space="preserve">, Gelman, and </w:t>
      </w:r>
      <w:proofErr w:type="spellStart"/>
      <w:r>
        <w:t>Gabry</w:t>
      </w:r>
      <w:proofErr w:type="spellEnd"/>
      <w:r>
        <w:t xml:space="preserve"> 2016): Models with higher </w:t>
      </w:r>
      <w:proofErr w:type="spellStart"/>
      <w:r>
        <w:t>elpd</w:t>
      </w:r>
      <w:proofErr w:type="spellEnd"/>
      <w:r>
        <w:t xml:space="preserve"> </w:t>
      </w:r>
      <w:proofErr w:type="spellStart"/>
      <w:r>
        <w:t>arw</w:t>
      </w:r>
      <w:proofErr w:type="spellEnd"/>
      <w:r>
        <w:t xml:space="preserve"> supposed to have more predictive values for untrained observations.</w:t>
      </w:r>
    </w:p>
    <w:p w14:paraId="59707A0D" w14:textId="77777777" w:rsidR="001F2076" w:rsidRDefault="007F3B32" w:rsidP="00297C2B">
      <w:pPr>
        <w:numPr>
          <w:ilvl w:val="0"/>
          <w:numId w:val="9"/>
        </w:numPr>
      </w:pPr>
      <w:proofErr w:type="spellStart"/>
      <w:r>
        <w:t>Visualised</w:t>
      </w:r>
      <w:proofErr w:type="spellEnd"/>
      <w:r>
        <w:t xml:space="preserve"> model calibration between estimated predicted and observed probabilities of positive confirmation tests (Harrell Jr 2021), using a non-parametric </w:t>
      </w:r>
      <w:r>
        <w:rPr>
          <w:i/>
          <w:iCs/>
        </w:rPr>
        <w:t>loess</w:t>
      </w:r>
      <w:r>
        <w:t xml:space="preserve"> fit. We also used the diagnosis at discharge as a pseudo-gold standard to </w:t>
      </w:r>
      <w:proofErr w:type="spellStart"/>
      <w:r>
        <w:t>visualise</w:t>
      </w:r>
      <w:proofErr w:type="spellEnd"/>
      <w:r>
        <w:t xml:space="preserve"> the calibration of TBM prevalence. A model with good calibration would correctly estimate the observed values.</w:t>
      </w:r>
    </w:p>
    <w:p w14:paraId="4B073244" w14:textId="77777777" w:rsidR="001F2076" w:rsidRDefault="007F3B32" w:rsidP="00297C2B">
      <w:pPr>
        <w:numPr>
          <w:ilvl w:val="0"/>
          <w:numId w:val="9"/>
        </w:numPr>
      </w:pPr>
      <w:r>
        <w:t>Receiver Operating Characteristic (ROC) curve and corresponding Areas Under the Curve (AUC</w:t>
      </w:r>
      <w:proofErr w:type="gramStart"/>
      <w:r>
        <w:t>) .</w:t>
      </w:r>
      <w:proofErr w:type="gramEnd"/>
      <w:r>
        <w:t xml:space="preserve"> Confidence interval for AUC was estimated by a 2000-time bootstrapping process </w:t>
      </w:r>
      <w:r>
        <w:rPr>
          <w:b/>
          <w:bCs/>
          <w:i/>
          <w:iCs/>
        </w:rPr>
        <w:t xml:space="preserve">&lt;I might change this to a fully </w:t>
      </w:r>
      <w:proofErr w:type="spellStart"/>
      <w:r>
        <w:rPr>
          <w:b/>
          <w:bCs/>
          <w:i/>
          <w:iCs/>
        </w:rPr>
        <w:t>bayesian</w:t>
      </w:r>
      <w:proofErr w:type="spellEnd"/>
      <w:r>
        <w:rPr>
          <w:b/>
          <w:bCs/>
          <w:i/>
          <w:iCs/>
        </w:rPr>
        <w:t xml:space="preserve"> estimation. shall I? &gt;</w:t>
      </w:r>
      <w:r>
        <w:t>. A model with good discriminative value would be better to distinguish between two class.</w:t>
      </w:r>
    </w:p>
    <w:p w14:paraId="6E2049F8" w14:textId="77777777" w:rsidR="001F2076" w:rsidRDefault="007F3B32" w:rsidP="00297C2B">
      <w:pPr>
        <w:numPr>
          <w:ilvl w:val="0"/>
          <w:numId w:val="9"/>
        </w:numPr>
      </w:pPr>
      <w:r>
        <w:t xml:space="preserve">Additionally, we also </w:t>
      </w:r>
      <w:proofErr w:type="spellStart"/>
      <w:r>
        <w:t>visualised</w:t>
      </w:r>
      <w:proofErr w:type="spellEnd"/>
      <w:r>
        <w:t xml:space="preserve"> class-wise predicted probability density plots to </w:t>
      </w:r>
      <w:proofErr w:type="spellStart"/>
      <w:r>
        <w:t>visualise</w:t>
      </w:r>
      <w:proofErr w:type="spellEnd"/>
      <w:r>
        <w:t xml:space="preserve"> how much separable the classes are based on the models. This </w:t>
      </w:r>
      <w:proofErr w:type="gramStart"/>
      <w:r>
        <w:t>demonstrate</w:t>
      </w:r>
      <w:proofErr w:type="gramEnd"/>
      <w:r>
        <w:t xml:space="preserve"> how predicted probabilities distributed between two classes.</w:t>
      </w:r>
    </w:p>
    <w:p w14:paraId="67C2A52E" w14:textId="77777777" w:rsidR="001F2076" w:rsidRDefault="007F3B32">
      <w:pPr>
        <w:pStyle w:val="FirstParagraph"/>
      </w:pPr>
      <w:r>
        <w:t>All metrics are based on 5 repetitions of 20-fold cross validated datasets (</w:t>
      </w:r>
      <w:proofErr w:type="gramStart"/>
      <w:r>
        <w:t>i.e.</w:t>
      </w:r>
      <w:proofErr w:type="gramEnd"/>
      <w:r>
        <w:t> 100 fits, as suggested by Harrell (Harrell Jr 2021)). Accordingly, we selected three best-performed models and re-estimated their parameters using the full dataset.</w:t>
      </w:r>
    </w:p>
    <w:p w14:paraId="3147B9BE" w14:textId="77777777" w:rsidR="001F2076" w:rsidRDefault="007F3B32">
      <w:pPr>
        <w:pStyle w:val="BodyText"/>
      </w:pPr>
      <w:r>
        <w:lastRenderedPageBreak/>
        <w:t>We also test for local independence assumption.</w:t>
      </w:r>
    </w:p>
    <w:p w14:paraId="27AD744F" w14:textId="77777777" w:rsidR="001F2076" w:rsidRDefault="007F3B32">
      <w:pPr>
        <w:pStyle w:val="Heading3"/>
      </w:pPr>
      <w:bookmarkStart w:id="19" w:name="exploratory-and-sensitivity-analysis"/>
      <w:bookmarkEnd w:id="18"/>
      <w:r>
        <w:t>Exploratory and sensitivity analysis</w:t>
      </w:r>
    </w:p>
    <w:p w14:paraId="4453BCB6" w14:textId="77777777" w:rsidR="001F2076" w:rsidRDefault="007F3B32">
      <w:pPr>
        <w:pStyle w:val="Heading4"/>
      </w:pPr>
      <w:bookmarkStart w:id="20" w:name="X4c41f31fd967fe7746a508d6bd82dad43d8f287"/>
      <w:r>
        <w:t>Complete-case analysis and imputation under MNAR assumption</w:t>
      </w:r>
    </w:p>
    <w:p w14:paraId="5B7B6CEE" w14:textId="77777777" w:rsidR="001F2076" w:rsidRDefault="007F3B32">
      <w:pPr>
        <w:pStyle w:val="FirstParagraph"/>
      </w:pPr>
      <w:r>
        <w:t xml:space="preserve">To check the level of impact from our imputation method, we did a complete-case analysis and a “missing-as-a-category” analysis in which we considered missing values as a level for binary variables. Suspected MNAR variables as listed in table </w:t>
      </w:r>
      <w:hyperlink w:anchor="missing-handling">
        <w:r>
          <w:fldChar w:fldCharType="begin"/>
        </w:r>
        <w:r>
          <w:instrText xml:space="preserve"> REF missing-handling \h</w:instrText>
        </w:r>
        <w:r>
          <w:fldChar w:fldCharType="end"/>
        </w:r>
      </w:hyperlink>
      <w:r>
        <w:t xml:space="preserve"> were also tested for MNAR where we randomly allocated values based on experts’ opinions.</w:t>
      </w:r>
    </w:p>
    <w:p w14:paraId="290EC5FF" w14:textId="77777777" w:rsidR="001F2076" w:rsidRDefault="007F3B32">
      <w:pPr>
        <w:pStyle w:val="BodyText"/>
      </w:pPr>
      <w:r>
        <w:t xml:space="preserve">Under MNAR assumption, we did a pattern-mixture </w:t>
      </w:r>
      <w:proofErr w:type="gramStart"/>
      <w:r>
        <w:t>method(</w:t>
      </w:r>
      <w:proofErr w:type="gramEnd"/>
      <w:r>
        <w:t xml:space="preserve">Mason et al. 2017; White et al. 2007), where we inquired prediction offsets </w:t>
      </w:r>
      <m:oMath>
        <m:r>
          <w:rPr>
            <w:rFonts w:ascii="Cambria Math" w:hAnsi="Cambria Math"/>
          </w:rPr>
          <m:t>δ</m:t>
        </m:r>
      </m:oMath>
      <w:r>
        <w:t xml:space="preserve">. </w:t>
      </w:r>
      <m:oMath>
        <m:r>
          <w:rPr>
            <w:rFonts w:ascii="Cambria Math" w:hAnsi="Cambria Math"/>
          </w:rPr>
          <m:t>δ</m:t>
        </m:r>
      </m:oMath>
      <w:r>
        <w:t xml:space="preserve"> represents the difference between unobserved part and observed part of each </w:t>
      </w:r>
      <w:proofErr w:type="gramStart"/>
      <w:r>
        <w:t>variables</w:t>
      </w:r>
      <w:proofErr w:type="gramEnd"/>
      <w:r>
        <w:t xml:space="preserve">, after correction for all hyper-predictors listed in </w:t>
      </w:r>
      <w:hyperlink w:anchor="impute-model">
        <w:r>
          <w:fldChar w:fldCharType="begin"/>
        </w:r>
        <w:r>
          <w:instrText xml:space="preserve"> REF impute-model \h</w:instrText>
        </w:r>
        <w:r>
          <w:fldChar w:fldCharType="end"/>
        </w:r>
      </w:hyperlink>
      <w:r>
        <w:t xml:space="preserve">. The offsets were collected from interviews with experts working at the Viet Anh Ward at HTD, where they were supposed to provide an estimation and 95% confidence intervals (95% CI), based on which </w:t>
      </w:r>
      <m:oMath>
        <m:r>
          <w:rPr>
            <w:rFonts w:ascii="Cambria Math" w:hAnsi="Cambria Math"/>
          </w:rPr>
          <m:t>δ</m:t>
        </m:r>
      </m:oMath>
      <w:r>
        <w:t xml:space="preserve">s </w:t>
      </w:r>
      <w:proofErr w:type="gramStart"/>
      <w:r>
        <w:t>were</w:t>
      </w:r>
      <w:proofErr w:type="gramEnd"/>
      <w:r>
        <w:t xml:space="preserve"> then sampled from.</w:t>
      </w:r>
    </w:p>
    <w:p w14:paraId="36CE91D1" w14:textId="77777777" w:rsidR="001F2076" w:rsidRDefault="007F3B32">
      <w:pPr>
        <w:pStyle w:val="BodyText"/>
      </w:pPr>
      <m:oMathPara>
        <m:oMathParaPr>
          <m:jc m:val="center"/>
        </m:oMathParaPr>
        <m:oMath>
          <m:r>
            <w:rPr>
              <w:rFonts w:ascii="Cambria Math" w:hAnsi="Cambria Math"/>
            </w:rPr>
            <m:t>δ</m:t>
          </m:r>
          <m:r>
            <m:rPr>
              <m:sty m:val="p"/>
            </m:rPr>
            <w:rPr>
              <w:rFonts w:ascii="Cambria Math" w:hAnsi="Cambria Math"/>
            </w:rPr>
            <m:t>∼</m:t>
          </m:r>
          <m:r>
            <w:rPr>
              <w:rFonts w:ascii="Cambria Math" w:hAnsi="Cambria Math"/>
            </w:rPr>
            <m:t>Normal</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expert</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expert</m:t>
              </m:r>
            </m:sub>
          </m:sSub>
          <m:r>
            <m:rPr>
              <m:sty m:val="p"/>
            </m:rPr>
            <w:rPr>
              <w:rFonts w:ascii="Cambria Math" w:hAnsi="Cambria Math"/>
            </w:rPr>
            <m:t>)</m:t>
          </m:r>
        </m:oMath>
      </m:oMathPara>
    </w:p>
    <w:p w14:paraId="2DBCD206" w14:textId="77777777" w:rsidR="001F2076" w:rsidRDefault="007F3B32">
      <w:pPr>
        <w:pStyle w:val="FirstParagraph"/>
      </w:pPr>
      <w:r>
        <w:rPr>
          <w:i/>
          <w:iCs/>
        </w:rPr>
        <w:t>where</w:t>
      </w:r>
      <w:r>
        <w:t xml:space="preserve"> </w:t>
      </w:r>
      <m:oMath>
        <m:sSub>
          <m:sSubPr>
            <m:ctrlPr>
              <w:rPr>
                <w:rFonts w:ascii="Cambria Math" w:hAnsi="Cambria Math"/>
              </w:rPr>
            </m:ctrlPr>
          </m:sSubPr>
          <m:e>
            <m:r>
              <w:rPr>
                <w:rFonts w:ascii="Cambria Math" w:hAnsi="Cambria Math"/>
              </w:rPr>
              <m:t>μ</m:t>
            </m:r>
          </m:e>
          <m:sub>
            <m:r>
              <w:rPr>
                <w:rFonts w:ascii="Cambria Math" w:hAnsi="Cambria Math"/>
              </w:rPr>
              <m:t>expert</m:t>
            </m:r>
          </m:sub>
        </m:sSub>
      </m:oMath>
      <w:r>
        <w:t xml:space="preserve"> </w:t>
      </w:r>
      <w:r>
        <w:rPr>
          <w:i/>
          <w:iCs/>
        </w:rPr>
        <w:t>and</w:t>
      </w:r>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xpert</m:t>
            </m:r>
          </m:sub>
        </m:sSub>
      </m:oMath>
      <w:r>
        <w:t xml:space="preserve"> </w:t>
      </w:r>
      <w:r>
        <w:rPr>
          <w:i/>
          <w:iCs/>
        </w:rPr>
        <w:t>are estimation and</w:t>
      </w:r>
      <w: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i/>
          <w:iCs/>
        </w:rPr>
        <w:t>of 95% CI provided by interviewed experts</w:t>
      </w:r>
      <w:r>
        <w:t>.</w:t>
      </w:r>
    </w:p>
    <w:p w14:paraId="3FD1F484" w14:textId="77777777" w:rsidR="001F2076" w:rsidRDefault="007F3B32">
      <w:pPr>
        <w:pStyle w:val="BodyText"/>
      </w:pPr>
      <w:r>
        <w:t>The main model underwent a relief of strict priors for test specificities in @ref(</w:t>
      </w:r>
      <w:proofErr w:type="gramStart"/>
      <w:r>
        <w:t>eq:priors</w:t>
      </w:r>
      <w:proofErr w:type="gramEnd"/>
      <w:r>
        <w:t>-response), the lifted model used the same prior for all three tests which cover specificity from at least 90%:</w:t>
      </w:r>
    </w:p>
    <w:p w14:paraId="749E389A" w14:textId="77777777" w:rsidR="001F2076" w:rsidRDefault="007F3B32">
      <w:pPr>
        <w:pStyle w:val="BodyText"/>
      </w:pPr>
      <m:oMathPara>
        <m:oMathParaPr>
          <m:jc m:val="center"/>
        </m:oMathParaPr>
        <m:oMath>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lifted</m:t>
              </m:r>
            </m:sub>
          </m:sSub>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.7</m:t>
          </m:r>
          <m:r>
            <m:rPr>
              <m:sty m:val="p"/>
            </m:rPr>
            <w:rPr>
              <w:rFonts w:ascii="Cambria Math" w:hAnsi="Cambria Math"/>
            </w:rPr>
            <m:t>)</m:t>
          </m:r>
        </m:oMath>
      </m:oMathPara>
    </w:p>
    <w:p w14:paraId="74EE652D" w14:textId="77777777" w:rsidR="001F2076" w:rsidRDefault="007F3B32">
      <w:pPr>
        <w:pStyle w:val="FirstParagraph"/>
      </w:pPr>
      <w:r>
        <w:rPr>
          <w:i/>
          <w:iCs/>
        </w:rPr>
        <w:t>where</w:t>
      </w:r>
      <w:r>
        <w:t xml:space="preserve"> </w:t>
      </w:r>
      <m:oMath>
        <m:r>
          <w:rPr>
            <w:rFonts w:ascii="Cambria Math" w:hAnsi="Cambria Math"/>
          </w:rPr>
          <m:t>μ</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0.001</m:t>
        </m:r>
        <m:r>
          <m:rPr>
            <m:sty m:val="p"/>
          </m:rPr>
          <w:rPr>
            <w:rFonts w:ascii="Cambria Math" w:hAnsi="Cambria Math"/>
          </w:rPr>
          <m:t>)</m:t>
        </m:r>
      </m:oMath>
      <w:r>
        <w:t xml:space="preserve"> for ZN Smear and MGIT, </w:t>
      </w:r>
      <m:oMath>
        <m:r>
          <w:rPr>
            <w:rFonts w:ascii="Cambria Math" w:hAnsi="Cambria Math"/>
          </w:rPr>
          <m:t>μ</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0.005</m:t>
        </m:r>
        <m:r>
          <m:rPr>
            <m:sty m:val="p"/>
          </m:rPr>
          <w:rPr>
            <w:rFonts w:ascii="Cambria Math" w:hAnsi="Cambria Math"/>
          </w:rPr>
          <m:t>)</m:t>
        </m:r>
      </m:oMath>
      <w:r>
        <w:t xml:space="preserve"> for Xpert.</w:t>
      </w:r>
    </w:p>
    <w:p w14:paraId="78AC6BA7" w14:textId="77777777" w:rsidR="001F2076" w:rsidRDefault="007F3B32">
      <w:pPr>
        <w:pStyle w:val="BodyText"/>
      </w:pPr>
      <w:r>
        <w:t xml:space="preserve">Lastly, as recent studies suggested a sup-optimal specificity of </w:t>
      </w:r>
      <w:proofErr w:type="spellStart"/>
      <w:r>
        <w:t>Xpert</w:t>
      </w:r>
      <w:proofErr w:type="spellEnd"/>
      <w:r>
        <w:t xml:space="preserve"> test on CSF </w:t>
      </w:r>
      <w:proofErr w:type="gramStart"/>
      <w:r>
        <w:t>samples(</w:t>
      </w:r>
      <w:proofErr w:type="spellStart"/>
      <w:proofErr w:type="gramEnd"/>
      <w:r>
        <w:t>Nhu</w:t>
      </w:r>
      <w:proofErr w:type="spellEnd"/>
      <w:r>
        <w:t xml:space="preserve"> et al. 2013; Chen et al. 2020), our assumptions made in table </w:t>
      </w:r>
      <w:hyperlink w:anchor="missing-handling">
        <w:r>
          <w:fldChar w:fldCharType="begin"/>
        </w:r>
        <w:r>
          <w:instrText xml:space="preserve"> REF missing-handling \h</w:instrText>
        </w:r>
        <w:r>
          <w:fldChar w:fldCharType="end"/>
        </w:r>
      </w:hyperlink>
      <w:r>
        <w:t xml:space="preserve"> might not completely valid. To tackle this, we considered a MAR scenario, where observation chance of confirmation tests </w:t>
      </w:r>
      <w:proofErr w:type="gramStart"/>
      <w:r>
        <w:t>depend</w:t>
      </w:r>
      <w:proofErr w:type="gramEnd"/>
      <w:r>
        <w:t xml:space="preserve"> on the unknown TBM status and locally independent to the value of confirmation tests. The observation status was then included in the model as a </w:t>
      </w:r>
      <w:proofErr w:type="gramStart"/>
      <w:r>
        <w:t>separated manifest variables</w:t>
      </w:r>
      <w:proofErr w:type="gramEnd"/>
      <w:r>
        <w:t xml:space="preserve"> </w:t>
      </w:r>
      <w:r>
        <w:rPr>
          <w:b/>
          <w:bCs/>
        </w:rPr>
        <w:t xml:space="preserve">(to Ronald: should I left this in the sensitivity or include this in the main analysis, for </w:t>
      </w:r>
      <w:proofErr w:type="spellStart"/>
      <w:r>
        <w:rPr>
          <w:b/>
          <w:bCs/>
        </w:rPr>
        <w:t>Xpert</w:t>
      </w:r>
      <w:proofErr w:type="spellEnd"/>
      <w:r>
        <w:rPr>
          <w:b/>
          <w:bCs/>
        </w:rPr>
        <w:t xml:space="preserve"> only or for all three?).</w:t>
      </w:r>
      <w:r>
        <w:t xml:space="preserve"> The validity of this method was depicted in a simulation study in </w:t>
      </w:r>
      <w:hyperlink w:anchor="appendix-simulation-study">
        <w:r>
          <w:fldChar w:fldCharType="begin"/>
        </w:r>
        <w:r>
          <w:instrText xml:space="preserve"> REF appendix-simulation-study \h \r</w:instrText>
        </w:r>
        <w:r>
          <w:fldChar w:fldCharType="end"/>
        </w:r>
      </w:hyperlink>
      <w:r>
        <w:t>.</w:t>
      </w:r>
    </w:p>
    <w:p w14:paraId="09AACCB3" w14:textId="77777777" w:rsidR="001F2076" w:rsidRDefault="007F3B32">
      <w:pPr>
        <w:pStyle w:val="BodyText"/>
      </w:pPr>
      <w:r>
        <w:t>In this analysis, we expected the chance in which at least one confirmation test was done are 95% for TBM-positive patients, and 50% for TBM-negative, hence led to two conservative priors:</w:t>
      </w:r>
    </w:p>
    <w:p w14:paraId="787B9935" w14:textId="77777777" w:rsidR="001F2076" w:rsidRDefault="0031727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.95</m:t>
                </m:r>
                <m:r>
                  <m:rPr>
                    <m:sty m:val="p"/>
                  </m:rPr>
                  <w:rPr>
                    <w:rFonts w:ascii="Cambria Math" w:hAnsi="Cambria Math"/>
                  </w:rPr>
                  <m:t>),</m:t>
                </m:r>
                <m:r>
                  <w:rPr>
                    <w:rFonts w:ascii="Cambria Math" w:hAnsi="Cambria Math"/>
                  </w:rPr>
                  <m:t>1</m:t>
                </m:r>
                <m:r>
                  <m:rPr>
                    <m:sty m:val="p"/>
                  </m:rPr>
                  <w:rPr>
                    <w:rFonts w:ascii="Cambria Math" w:hAnsi="Cambria Math"/>
                  </w:rPr>
                  <m:t>)</m:t>
                </m:r>
              </m:e>
            </m:mr>
          </m:m>
        </m:oMath>
      </m:oMathPara>
    </w:p>
    <w:p w14:paraId="38B19093" w14:textId="77777777" w:rsidR="001F2076" w:rsidRDefault="007F3B32">
      <w:pPr>
        <w:pStyle w:val="Figure"/>
      </w:pPr>
      <w:r>
        <w:rPr>
          <w:noProof/>
          <w:lang w:val="en-GB" w:eastAsia="en-GB"/>
        </w:rPr>
        <w:lastRenderedPageBreak/>
        <w:drawing>
          <wp:inline distT="0" distB="0" distL="0" distR="0" wp14:anchorId="2C26CEF2" wp14:editId="67DDEDD5">
            <wp:extent cx="73152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101600" cy="30480"/>
                    </a:xfrm>
                    <a:prstGeom prst="rect">
                      <a:avLst/>
                    </a:prstGeom>
                    <a:noFill/>
                  </pic:spPr>
                </pic:pic>
              </a:graphicData>
            </a:graphic>
          </wp:inline>
        </w:drawing>
      </w:r>
    </w:p>
    <w:p w14:paraId="0F0416DF" w14:textId="77777777" w:rsidR="001F2076" w:rsidRDefault="007F3B32">
      <w:pPr>
        <w:pStyle w:val="ImageCaption"/>
      </w:pPr>
      <w:r>
        <w:t xml:space="preserve">Figure </w:t>
      </w:r>
      <w:bookmarkStart w:id="21" w:name="liftes-priors"/>
      <w:r>
        <w:fldChar w:fldCharType="begin"/>
      </w:r>
      <w:r>
        <w:instrText>SEQ fig \* Arabic</w:instrText>
      </w:r>
      <w:r>
        <w:fldChar w:fldCharType="end"/>
      </w:r>
      <w:bookmarkEnd w:id="21"/>
      <w:r>
        <w:t>: Lifted prior for ZN Smear and MGIT specificities, compared to the old one (dark grey). 1: logit scale, 2: linear scale</w:t>
      </w:r>
    </w:p>
    <w:p w14:paraId="2AEE16B8" w14:textId="77777777" w:rsidR="001F2076" w:rsidRDefault="007F3B32">
      <w:pPr>
        <w:pStyle w:val="Heading4"/>
      </w:pPr>
      <w:bookmarkStart w:id="22" w:name="Xa16e62aa759a4a01c7c85a67a9aca855d313449"/>
      <w:bookmarkEnd w:id="20"/>
      <w:r>
        <w:t>Non-linearity and Dimensionality Reduction</w:t>
      </w:r>
    </w:p>
    <w:p w14:paraId="0AEA630B" w14:textId="77777777" w:rsidR="001F2076" w:rsidRDefault="007F3B32">
      <w:pPr>
        <w:pStyle w:val="FirstParagraph"/>
      </w:pPr>
      <w:r>
        <w:t>As part of the exploratory analysis, we considered two models:</w:t>
      </w:r>
    </w:p>
    <w:p w14:paraId="5CE65A70" w14:textId="77777777" w:rsidR="001F2076" w:rsidRDefault="007F3B32" w:rsidP="00297C2B">
      <w:pPr>
        <w:numPr>
          <w:ilvl w:val="0"/>
          <w:numId w:val="10"/>
        </w:numPr>
      </w:pPr>
      <w:r>
        <w:t xml:space="preserve">Non-linearity for all CSF </w:t>
      </w:r>
      <w:proofErr w:type="gramStart"/>
      <w:r>
        <w:t>bio-markers</w:t>
      </w:r>
      <w:proofErr w:type="gramEnd"/>
      <w:r>
        <w:t>: We added quadratic effects for all CSF bio-markers in the prevalence model. LASSO-based variable selection was implemented for this analysis.</w:t>
      </w:r>
    </w:p>
    <w:p w14:paraId="0C28526F" w14:textId="77777777" w:rsidR="001F2076" w:rsidRDefault="007F3B32" w:rsidP="00297C2B">
      <w:pPr>
        <w:numPr>
          <w:ilvl w:val="0"/>
          <w:numId w:val="10"/>
        </w:numPr>
      </w:pPr>
      <w:r>
        <w:t>Non-linearity for Glasgow coma scores: As GCS is not a continuous variable but rather an ordinal one de facto, it is possible that there is non-linear correlation between GCS and TBM risk. In this analysis, we employed a quadratic effect for GCS to capture this potential of non-linearity.</w:t>
      </w:r>
    </w:p>
    <w:p w14:paraId="01EF1457" w14:textId="77777777" w:rsidR="001F2076" w:rsidRDefault="007F3B32" w:rsidP="00297C2B">
      <w:pPr>
        <w:numPr>
          <w:ilvl w:val="0"/>
          <w:numId w:val="10"/>
        </w:numPr>
      </w:pPr>
      <w:r>
        <w:t xml:space="preserve">Probabilistic Principal Component Analysis (PPCA): Instead of performing Variable selection, we performed an implementation of Probabilistic Principal Component Analysis for dimensionality reduction, especially amongst potentially collinear predictors. In this analysis, we only implemented this for collinearity-prone CSF </w:t>
      </w:r>
      <w:proofErr w:type="gramStart"/>
      <w:r>
        <w:t>bio-markers</w:t>
      </w:r>
      <w:proofErr w:type="gramEnd"/>
      <w:r>
        <w:t>.</w:t>
      </w:r>
    </w:p>
    <w:p w14:paraId="4BEC00EE" w14:textId="77777777" w:rsidR="001F2076" w:rsidRDefault="007F3B32" w:rsidP="00297C2B">
      <w:pPr>
        <w:numPr>
          <w:ilvl w:val="0"/>
          <w:numId w:val="10"/>
        </w:numPr>
      </w:pPr>
      <w:r>
        <w:t>Test accuracy with respect to CSF volume: By including the volume of sample collected, we can further investigate the effect size of CSF volumes on the sensitivity of each confirmation test.</w:t>
      </w:r>
    </w:p>
    <w:p w14:paraId="37EC9490" w14:textId="77777777" w:rsidR="001F2076" w:rsidRDefault="007F3B32">
      <w:pPr>
        <w:pStyle w:val="Heading3"/>
      </w:pPr>
      <w:bookmarkStart w:id="23" w:name="simplified-approximation-of-tbm-risk"/>
      <w:bookmarkEnd w:id="19"/>
      <w:bookmarkEnd w:id="22"/>
      <w:r>
        <w:t>Simplified approximation of TBM risk</w:t>
      </w:r>
    </w:p>
    <w:p w14:paraId="0A0C2A96" w14:textId="77777777" w:rsidR="001F2076" w:rsidRDefault="007F3B32">
      <w:pPr>
        <w:pStyle w:val="FirstParagraph"/>
      </w:pPr>
      <w:r>
        <w:t>As the full model requires a plethora of predictors and measurements, it might not be pragmatic in some limited contexts. We hence developed a simplified version of the prevalence sub-model which exclude all laboratorial features. The aim of this exploratory analysis is to provide a decent approximation of TBM risk yet needs only a minimal amount of information.</w:t>
      </w:r>
    </w:p>
    <w:p w14:paraId="0FCA80E8" w14:textId="77777777" w:rsidR="001F2076" w:rsidRDefault="007F3B32">
      <w:pPr>
        <w:pStyle w:val="BodyText"/>
      </w:pPr>
      <w:r>
        <w:t xml:space="preserve">In this analysis, we took out the posterior probabilities of TBM from the best-performed model, on the logit scale, fed them into subsequent model where the number of predictors were reduced. The error term follows Logistic distribution with </w:t>
      </w:r>
      <m:oMath>
        <m:r>
          <w:rPr>
            <w:rFonts w:ascii="Cambria Math" w:hAnsi="Cambria Math"/>
          </w:rPr>
          <m:t>scale</m:t>
        </m:r>
        <m:r>
          <m:rPr>
            <m:sty m:val="p"/>
          </m:rPr>
          <w:rPr>
            <w:rFonts w:ascii="Cambria Math" w:hAnsi="Cambria Math"/>
          </w:rPr>
          <m:t>=</m:t>
        </m:r>
        <m:r>
          <w:rPr>
            <w:rFonts w:ascii="Cambria Math" w:hAnsi="Cambria Math"/>
          </w:rPr>
          <m:t>1</m:t>
        </m:r>
      </m:oMath>
      <w:r>
        <w:t>.</w:t>
      </w:r>
    </w:p>
    <w:p w14:paraId="66BFF189" w14:textId="77777777" w:rsidR="001F2076" w:rsidRDefault="0031727D">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approx</m:t>
              </m:r>
            </m:sub>
          </m:sSub>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6CA209E1" w14:textId="77777777" w:rsidR="001F2076" w:rsidRDefault="007F3B32">
      <w:pPr>
        <w:pStyle w:val="FirstParagraph"/>
      </w:pPr>
      <w:proofErr w:type="spellStart"/>
      <w:r>
        <w:rPr>
          <w:i/>
          <w:iCs/>
        </w:rPr>
        <w:lastRenderedPageBreak/>
        <w:t>s.t.</w:t>
      </w:r>
      <w:proofErr w:type="spellEnd"/>
      <w:r>
        <w:t xml:space="preserve"> </w:t>
      </w:r>
      <m:oMath>
        <m:r>
          <w:rPr>
            <w:rFonts w:ascii="Cambria Math" w:hAnsi="Cambria Math"/>
          </w:rPr>
          <m:t>z</m:t>
        </m:r>
        <m:r>
          <m:rPr>
            <m:sty m:val="p"/>
          </m:rPr>
          <w:rPr>
            <w:rFonts w:ascii="Cambria Math" w:hAnsi="Cambria Math"/>
          </w:rPr>
          <m:t>=</m:t>
        </m:r>
        <m:r>
          <w:rPr>
            <w:rFonts w:ascii="Cambria Math" w:hAnsi="Cambria Math"/>
          </w:rPr>
          <m:t>logit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TBM</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approx</m:t>
            </m:r>
          </m:sub>
        </m:sSub>
      </m:oMath>
      <w:r>
        <w:t xml:space="preserve"> </w:t>
      </w:r>
      <w:proofErr w:type="gramStart"/>
      <w:r>
        <w:t>is an approximation of</w:t>
      </w:r>
      <w:proofErr w:type="gramEnd"/>
      <w:r>
        <w:t xml:space="preserve"> </w:t>
      </w:r>
      <m:oMath>
        <m:r>
          <w:rPr>
            <w:rFonts w:ascii="Cambria Math" w:hAnsi="Cambria Math"/>
          </w:rPr>
          <m:t>z</m:t>
        </m:r>
      </m:oMath>
      <w:r>
        <w:t>.</w:t>
      </w:r>
    </w:p>
    <w:p w14:paraId="1F61F945" w14:textId="77777777" w:rsidR="001F2076" w:rsidRDefault="007F3B32">
      <w:pPr>
        <w:pStyle w:val="Heading1"/>
      </w:pPr>
      <w:bookmarkStart w:id="24" w:name="results"/>
      <w:bookmarkEnd w:id="4"/>
      <w:bookmarkEnd w:id="7"/>
      <w:bookmarkEnd w:id="23"/>
      <w:r>
        <w:t>Results</w:t>
      </w:r>
    </w:p>
    <w:p w14:paraId="0CA4A1B7" w14:textId="77777777" w:rsidR="001F2076" w:rsidRDefault="007F3B32">
      <w:pPr>
        <w:pStyle w:val="FirstParagraph"/>
      </w:pPr>
      <w:r>
        <w:t xml:space="preserve">Venn diagram for confirmation test results </w:t>
      </w:r>
      <w:proofErr w:type="gramStart"/>
      <w:r>
        <w:t>are</w:t>
      </w:r>
      <w:proofErr w:type="gramEnd"/>
      <w:r>
        <w:t xml:space="preserve"> demonstrated in </w:t>
      </w:r>
      <w:hyperlink w:anchor="venn-test">
        <w:r>
          <w:fldChar w:fldCharType="begin"/>
        </w:r>
        <w:r>
          <w:instrText xml:space="preserve"> REF venn-test \h</w:instrText>
        </w:r>
        <w:r>
          <w:fldChar w:fldCharType="end"/>
        </w:r>
      </w:hyperlink>
    </w:p>
    <w:p w14:paraId="22DC8E33" w14:textId="77777777" w:rsidR="001F2076" w:rsidRDefault="007F3B32">
      <w:pPr>
        <w:pStyle w:val="Figure"/>
      </w:pPr>
      <w:r>
        <w:rPr>
          <w:noProof/>
          <w:lang w:val="en-GB" w:eastAsia="en-GB"/>
        </w:rPr>
        <w:drawing>
          <wp:inline distT="0" distB="0" distL="0" distR="0" wp14:anchorId="47F9EF00" wp14:editId="5A52BF0C">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63500" cy="63500"/>
                    </a:xfrm>
                    <a:prstGeom prst="rect">
                      <a:avLst/>
                    </a:prstGeom>
                    <a:noFill/>
                  </pic:spPr>
                </pic:pic>
              </a:graphicData>
            </a:graphic>
          </wp:inline>
        </w:drawing>
      </w:r>
    </w:p>
    <w:p w14:paraId="0247EE28" w14:textId="77777777" w:rsidR="001F2076" w:rsidRDefault="007F3B32">
      <w:pPr>
        <w:pStyle w:val="ImageCaption"/>
      </w:pPr>
      <w:r>
        <w:t xml:space="preserve">Figure </w:t>
      </w:r>
      <w:bookmarkStart w:id="25" w:name="venn-test"/>
      <w:r>
        <w:fldChar w:fldCharType="begin"/>
      </w:r>
      <w:r>
        <w:instrText>SEQ fig \* Arabic</w:instrText>
      </w:r>
      <w:r>
        <w:fldChar w:fldCharType="end"/>
      </w:r>
      <w:bookmarkEnd w:id="25"/>
      <w:r>
        <w:t xml:space="preserve">: Venn diagram for ZN Smear, MGIT, and </w:t>
      </w:r>
      <w:proofErr w:type="spellStart"/>
      <w:r>
        <w:t>Xpert</w:t>
      </w:r>
      <w:proofErr w:type="spellEnd"/>
    </w:p>
    <w:p w14:paraId="1C882DC7" w14:textId="77777777" w:rsidR="001F2076" w:rsidRDefault="007F3B32">
      <w:pPr>
        <w:pStyle w:val="BodyText"/>
      </w:pPr>
      <w:proofErr w:type="spellStart"/>
      <w:r>
        <w:t>Blahblahblah</w:t>
      </w:r>
      <w:proofErr w:type="spellEnd"/>
    </w:p>
    <w:p w14:paraId="2F50FC72" w14:textId="77777777" w:rsidR="001F2076" w:rsidRDefault="007F3B32">
      <w:r>
        <w:br w:type="page"/>
      </w:r>
    </w:p>
    <w:p w14:paraId="50F16107" w14:textId="77777777" w:rsidR="001F2076" w:rsidRDefault="001F2076">
      <w:pPr>
        <w:sectPr w:rsidR="001F2076">
          <w:type w:val="continuous"/>
          <w:pgSz w:w="11952" w:h="16848"/>
          <w:pgMar w:top="1800" w:right="720" w:bottom="1800" w:left="720" w:header="720" w:footer="720" w:gutter="720"/>
          <w:cols w:space="720"/>
        </w:sectPr>
      </w:pPr>
    </w:p>
    <w:p w14:paraId="57242B8C" w14:textId="77777777" w:rsidR="001F2076" w:rsidRDefault="007F3B32">
      <w:pPr>
        <w:pStyle w:val="TableCaption"/>
      </w:pPr>
      <w:r>
        <w:lastRenderedPageBreak/>
        <w:t>History and baseline information</w:t>
      </w:r>
    </w:p>
    <w:tbl>
      <w:tblPr>
        <w:tblW w:w="0" w:type="auto"/>
        <w:jc w:val="center"/>
        <w:tblLayout w:type="fixed"/>
        <w:tblLook w:val="0420" w:firstRow="1" w:lastRow="0" w:firstColumn="0" w:lastColumn="0" w:noHBand="0" w:noVBand="1"/>
      </w:tblPr>
      <w:tblGrid>
        <w:gridCol w:w="1800"/>
        <w:gridCol w:w="1800"/>
        <w:gridCol w:w="1800"/>
        <w:gridCol w:w="1800"/>
        <w:gridCol w:w="1800"/>
        <w:gridCol w:w="1800"/>
        <w:gridCol w:w="1800"/>
      </w:tblGrid>
      <w:tr w:rsidR="001F2076" w14:paraId="55F32B88" w14:textId="77777777">
        <w:trPr>
          <w:cantSplit/>
          <w:tblHeader/>
          <w:jc w:val="center"/>
        </w:trPr>
        <w:tc>
          <w:tcPr>
            <w:tcW w:w="1800" w:type="dxa"/>
            <w:shd w:val="clear" w:color="auto" w:fill="CFCFCF"/>
            <w:tcMar>
              <w:top w:w="0" w:type="dxa"/>
              <w:left w:w="0" w:type="dxa"/>
              <w:bottom w:w="0" w:type="dxa"/>
              <w:right w:w="0" w:type="dxa"/>
            </w:tcMar>
            <w:vAlign w:val="center"/>
          </w:tcPr>
          <w:p w14:paraId="21A78A2E" w14:textId="77777777" w:rsidR="001F2076" w:rsidRDefault="007F3B32">
            <w:pPr>
              <w:spacing w:before="40" w:after="40"/>
              <w:ind w:left="100" w:right="100"/>
            </w:pPr>
            <w:r>
              <w:rPr>
                <w:rFonts w:ascii="Arial" w:eastAsia="Arial" w:hAnsi="Arial" w:cs="Arial"/>
                <w:b/>
                <w:color w:val="000000"/>
                <w:sz w:val="20"/>
                <w:szCs w:val="20"/>
              </w:rPr>
              <w:t xml:space="preserve"> </w:t>
            </w:r>
          </w:p>
        </w:tc>
        <w:tc>
          <w:tcPr>
            <w:tcW w:w="3600" w:type="dxa"/>
            <w:gridSpan w:val="2"/>
            <w:shd w:val="clear" w:color="auto" w:fill="CFCFCF"/>
            <w:tcMar>
              <w:top w:w="0" w:type="dxa"/>
              <w:left w:w="0" w:type="dxa"/>
              <w:bottom w:w="0" w:type="dxa"/>
              <w:right w:w="0" w:type="dxa"/>
            </w:tcMar>
            <w:vAlign w:val="center"/>
          </w:tcPr>
          <w:p w14:paraId="336CC4E7" w14:textId="77777777" w:rsidR="001F2076" w:rsidRDefault="007F3B32">
            <w:pPr>
              <w:spacing w:before="40" w:after="40"/>
              <w:ind w:left="100" w:right="100"/>
            </w:pPr>
            <w:r>
              <w:rPr>
                <w:rFonts w:ascii="Arial" w:eastAsia="Arial" w:hAnsi="Arial" w:cs="Arial"/>
                <w:b/>
                <w:color w:val="000000"/>
                <w:sz w:val="20"/>
                <w:szCs w:val="20"/>
              </w:rPr>
              <w:t>MGIT</w:t>
            </w:r>
          </w:p>
        </w:tc>
        <w:tc>
          <w:tcPr>
            <w:tcW w:w="3600" w:type="dxa"/>
            <w:gridSpan w:val="2"/>
            <w:shd w:val="clear" w:color="auto" w:fill="CFCFCF"/>
            <w:tcMar>
              <w:top w:w="0" w:type="dxa"/>
              <w:left w:w="0" w:type="dxa"/>
              <w:bottom w:w="0" w:type="dxa"/>
              <w:right w:w="0" w:type="dxa"/>
            </w:tcMar>
            <w:vAlign w:val="center"/>
          </w:tcPr>
          <w:p w14:paraId="6ECAA29D" w14:textId="77777777" w:rsidR="001F2076" w:rsidRDefault="007F3B32">
            <w:pPr>
              <w:spacing w:before="40" w:after="40"/>
              <w:ind w:left="100" w:right="100"/>
            </w:pPr>
            <w:proofErr w:type="spellStart"/>
            <w:r>
              <w:rPr>
                <w:rFonts w:ascii="Arial" w:eastAsia="Arial" w:hAnsi="Arial" w:cs="Arial"/>
                <w:b/>
                <w:color w:val="000000"/>
                <w:sz w:val="20"/>
                <w:szCs w:val="20"/>
              </w:rPr>
              <w:t>Xpert</w:t>
            </w:r>
            <w:proofErr w:type="spellEnd"/>
            <w:r>
              <w:rPr>
                <w:rFonts w:ascii="Arial" w:eastAsia="Arial" w:hAnsi="Arial" w:cs="Arial"/>
                <w:b/>
                <w:color w:val="000000"/>
                <w:sz w:val="20"/>
                <w:szCs w:val="20"/>
              </w:rPr>
              <w:t xml:space="preserve"> (Ultra) MTB/RIF</w:t>
            </w:r>
          </w:p>
        </w:tc>
        <w:tc>
          <w:tcPr>
            <w:tcW w:w="3600" w:type="dxa"/>
            <w:gridSpan w:val="2"/>
            <w:shd w:val="clear" w:color="auto" w:fill="CFCFCF"/>
            <w:tcMar>
              <w:top w:w="0" w:type="dxa"/>
              <w:left w:w="0" w:type="dxa"/>
              <w:bottom w:w="0" w:type="dxa"/>
              <w:right w:w="0" w:type="dxa"/>
            </w:tcMar>
            <w:vAlign w:val="center"/>
          </w:tcPr>
          <w:p w14:paraId="6ECD52EC" w14:textId="77777777" w:rsidR="001F2076" w:rsidRDefault="007F3B32">
            <w:pPr>
              <w:spacing w:before="40" w:after="40"/>
              <w:ind w:left="100" w:right="100"/>
            </w:pPr>
            <w:r>
              <w:rPr>
                <w:rFonts w:ascii="Arial" w:eastAsia="Arial" w:hAnsi="Arial" w:cs="Arial"/>
                <w:b/>
                <w:color w:val="000000"/>
                <w:sz w:val="20"/>
                <w:szCs w:val="20"/>
              </w:rPr>
              <w:t>ZN Smear</w:t>
            </w:r>
          </w:p>
        </w:tc>
      </w:tr>
      <w:tr w:rsidR="001F2076" w14:paraId="0C0182C4" w14:textId="77777777">
        <w:trPr>
          <w:cantSplit/>
          <w:tblHeader/>
          <w:jc w:val="center"/>
        </w:trPr>
        <w:tc>
          <w:tcPr>
            <w:tcW w:w="1800" w:type="dxa"/>
            <w:shd w:val="clear" w:color="auto" w:fill="FFFFFF"/>
            <w:tcMar>
              <w:top w:w="0" w:type="dxa"/>
              <w:left w:w="0" w:type="dxa"/>
              <w:bottom w:w="0" w:type="dxa"/>
              <w:right w:w="0" w:type="dxa"/>
            </w:tcMar>
            <w:vAlign w:val="center"/>
          </w:tcPr>
          <w:p w14:paraId="6CD9EDB9" w14:textId="77777777" w:rsidR="001F2076" w:rsidRDefault="007F3B32">
            <w:pPr>
              <w:spacing w:before="40" w:after="40"/>
              <w:ind w:left="100" w:right="100"/>
            </w:pPr>
            <w:r>
              <w:rPr>
                <w:rFonts w:ascii="Arial" w:eastAsia="Arial" w:hAnsi="Arial" w:cs="Arial"/>
                <w:b/>
                <w:color w:val="000000"/>
                <w:sz w:val="20"/>
                <w:szCs w:val="20"/>
              </w:rPr>
              <w:t>Characteristic</w:t>
            </w:r>
          </w:p>
        </w:tc>
        <w:tc>
          <w:tcPr>
            <w:tcW w:w="1800" w:type="dxa"/>
            <w:shd w:val="clear" w:color="auto" w:fill="FFFFFF"/>
            <w:tcMar>
              <w:top w:w="0" w:type="dxa"/>
              <w:left w:w="0" w:type="dxa"/>
              <w:bottom w:w="0" w:type="dxa"/>
              <w:right w:w="0" w:type="dxa"/>
            </w:tcMar>
            <w:vAlign w:val="center"/>
          </w:tcPr>
          <w:p w14:paraId="7F81D2EE" w14:textId="77777777" w:rsidR="001F2076" w:rsidRDefault="007F3B32">
            <w:pPr>
              <w:spacing w:before="40" w:after="40"/>
              <w:ind w:left="100" w:right="100"/>
            </w:pPr>
            <w:r>
              <w:rPr>
                <w:rFonts w:ascii="Arial" w:eastAsia="Arial" w:hAnsi="Arial" w:cs="Arial"/>
                <w:b/>
                <w:color w:val="000000"/>
                <w:sz w:val="20"/>
                <w:szCs w:val="20"/>
              </w:rPr>
              <w:t>Negative, N = 596</w:t>
            </w:r>
            <w:r>
              <w:rPr>
                <w:rFonts w:ascii="Arial" w:eastAsia="Arial" w:hAnsi="Arial" w:cs="Arial"/>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3285F710" w14:textId="77777777" w:rsidR="001F2076" w:rsidRDefault="007F3B32">
            <w:pPr>
              <w:spacing w:before="40" w:after="40"/>
              <w:ind w:left="100" w:right="100"/>
            </w:pPr>
            <w:r>
              <w:rPr>
                <w:rFonts w:ascii="Arial" w:eastAsia="Arial" w:hAnsi="Arial" w:cs="Arial"/>
                <w:b/>
                <w:color w:val="000000"/>
                <w:sz w:val="20"/>
                <w:szCs w:val="20"/>
              </w:rPr>
              <w:t>Positive, N = 91</w:t>
            </w:r>
            <w:r>
              <w:rPr>
                <w:rFonts w:ascii="Arial" w:eastAsia="Arial" w:hAnsi="Arial" w:cs="Arial"/>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5863EB5D" w14:textId="77777777" w:rsidR="001F2076" w:rsidRDefault="007F3B32">
            <w:pPr>
              <w:spacing w:before="40" w:after="40"/>
              <w:ind w:left="100" w:right="100"/>
            </w:pPr>
            <w:r>
              <w:rPr>
                <w:rFonts w:ascii="Arial" w:eastAsia="Arial" w:hAnsi="Arial" w:cs="Arial"/>
                <w:b/>
                <w:color w:val="000000"/>
                <w:sz w:val="20"/>
                <w:szCs w:val="20"/>
              </w:rPr>
              <w:t>Negative, N = 613</w:t>
            </w:r>
            <w:r>
              <w:rPr>
                <w:rFonts w:ascii="Arial" w:eastAsia="Arial" w:hAnsi="Arial" w:cs="Arial"/>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0C4944BA" w14:textId="77777777" w:rsidR="001F2076" w:rsidRDefault="007F3B32">
            <w:pPr>
              <w:spacing w:before="40" w:after="40"/>
              <w:ind w:left="100" w:right="100"/>
            </w:pPr>
            <w:r>
              <w:rPr>
                <w:rFonts w:ascii="Arial" w:eastAsia="Arial" w:hAnsi="Arial" w:cs="Arial"/>
                <w:b/>
                <w:color w:val="000000"/>
                <w:sz w:val="20"/>
                <w:szCs w:val="20"/>
              </w:rPr>
              <w:t>Positive, N = 74</w:t>
            </w:r>
            <w:r>
              <w:rPr>
                <w:rFonts w:ascii="Arial" w:eastAsia="Arial" w:hAnsi="Arial" w:cs="Arial"/>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71DE434C" w14:textId="77777777" w:rsidR="001F2076" w:rsidRDefault="007F3B32">
            <w:pPr>
              <w:spacing w:before="40" w:after="40"/>
              <w:ind w:left="100" w:right="100"/>
            </w:pPr>
            <w:r>
              <w:rPr>
                <w:rFonts w:ascii="Arial" w:eastAsia="Arial" w:hAnsi="Arial" w:cs="Arial"/>
                <w:b/>
                <w:color w:val="000000"/>
                <w:sz w:val="20"/>
                <w:szCs w:val="20"/>
              </w:rPr>
              <w:t>Negative, N = 554</w:t>
            </w:r>
            <w:r>
              <w:rPr>
                <w:rFonts w:ascii="Arial" w:eastAsia="Arial" w:hAnsi="Arial" w:cs="Arial"/>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76C8AF7F" w14:textId="77777777" w:rsidR="001F2076" w:rsidRDefault="007F3B32">
            <w:pPr>
              <w:spacing w:before="40" w:after="40"/>
              <w:ind w:left="100" w:right="100"/>
            </w:pPr>
            <w:r>
              <w:rPr>
                <w:rFonts w:ascii="Arial" w:eastAsia="Arial" w:hAnsi="Arial" w:cs="Arial"/>
                <w:b/>
                <w:color w:val="000000"/>
                <w:sz w:val="20"/>
                <w:szCs w:val="20"/>
              </w:rPr>
              <w:t>Positive, N = 133</w:t>
            </w:r>
            <w:r>
              <w:rPr>
                <w:rFonts w:ascii="Arial" w:eastAsia="Arial" w:hAnsi="Arial" w:cs="Arial"/>
                <w:b/>
                <w:color w:val="000000"/>
                <w:sz w:val="20"/>
                <w:szCs w:val="20"/>
                <w:vertAlign w:val="superscript"/>
              </w:rPr>
              <w:t>1</w:t>
            </w:r>
          </w:p>
        </w:tc>
      </w:tr>
      <w:tr w:rsidR="001F2076" w14:paraId="74671D5F" w14:textId="77777777">
        <w:trPr>
          <w:cantSplit/>
          <w:jc w:val="center"/>
        </w:trPr>
        <w:tc>
          <w:tcPr>
            <w:tcW w:w="1800" w:type="dxa"/>
            <w:shd w:val="clear" w:color="auto" w:fill="EFEFEF"/>
            <w:tcMar>
              <w:top w:w="0" w:type="dxa"/>
              <w:left w:w="0" w:type="dxa"/>
              <w:bottom w:w="0" w:type="dxa"/>
              <w:right w:w="0" w:type="dxa"/>
            </w:tcMar>
          </w:tcPr>
          <w:p w14:paraId="310254C6" w14:textId="77777777" w:rsidR="001F2076" w:rsidRDefault="007F3B32">
            <w:pPr>
              <w:spacing w:before="100" w:after="100"/>
              <w:ind w:left="100" w:right="100"/>
            </w:pPr>
            <w:r>
              <w:rPr>
                <w:rFonts w:ascii="Arial" w:eastAsia="Arial" w:hAnsi="Arial" w:cs="Arial"/>
                <w:color w:val="000000"/>
                <w:sz w:val="20"/>
                <w:szCs w:val="20"/>
              </w:rPr>
              <w:t>Age</w:t>
            </w:r>
          </w:p>
        </w:tc>
        <w:tc>
          <w:tcPr>
            <w:tcW w:w="1800" w:type="dxa"/>
            <w:shd w:val="clear" w:color="auto" w:fill="EFEFEF"/>
            <w:tcMar>
              <w:top w:w="0" w:type="dxa"/>
              <w:left w:w="0" w:type="dxa"/>
              <w:bottom w:w="0" w:type="dxa"/>
              <w:right w:w="0" w:type="dxa"/>
            </w:tcMar>
            <w:vAlign w:val="center"/>
          </w:tcPr>
          <w:p w14:paraId="417AF2EA" w14:textId="77777777" w:rsidR="001F2076" w:rsidRDefault="007F3B32">
            <w:pPr>
              <w:spacing w:before="100" w:after="100"/>
              <w:ind w:left="100" w:right="100"/>
            </w:pPr>
            <w:r>
              <w:rPr>
                <w:rFonts w:ascii="Arial" w:eastAsia="Arial" w:hAnsi="Arial" w:cs="Arial"/>
                <w:color w:val="000000"/>
                <w:sz w:val="20"/>
                <w:szCs w:val="20"/>
              </w:rPr>
              <w:t>42 (27, 56)</w:t>
            </w:r>
          </w:p>
        </w:tc>
        <w:tc>
          <w:tcPr>
            <w:tcW w:w="1800" w:type="dxa"/>
            <w:shd w:val="clear" w:color="auto" w:fill="EFEFEF"/>
            <w:tcMar>
              <w:top w:w="0" w:type="dxa"/>
              <w:left w:w="0" w:type="dxa"/>
              <w:bottom w:w="0" w:type="dxa"/>
              <w:right w:w="0" w:type="dxa"/>
            </w:tcMar>
            <w:vAlign w:val="center"/>
          </w:tcPr>
          <w:p w14:paraId="24C5E3AF" w14:textId="77777777" w:rsidR="001F2076" w:rsidRDefault="007F3B32">
            <w:pPr>
              <w:spacing w:before="100" w:after="100"/>
              <w:ind w:left="100" w:right="100"/>
            </w:pPr>
            <w:r>
              <w:rPr>
                <w:rFonts w:ascii="Arial" w:eastAsia="Arial" w:hAnsi="Arial" w:cs="Arial"/>
                <w:color w:val="000000"/>
                <w:sz w:val="20"/>
                <w:szCs w:val="20"/>
              </w:rPr>
              <w:t>41 (30, 50)</w:t>
            </w:r>
          </w:p>
        </w:tc>
        <w:tc>
          <w:tcPr>
            <w:tcW w:w="1800" w:type="dxa"/>
            <w:shd w:val="clear" w:color="auto" w:fill="EFEFEF"/>
            <w:tcMar>
              <w:top w:w="0" w:type="dxa"/>
              <w:left w:w="0" w:type="dxa"/>
              <w:bottom w:w="0" w:type="dxa"/>
              <w:right w:w="0" w:type="dxa"/>
            </w:tcMar>
            <w:vAlign w:val="center"/>
          </w:tcPr>
          <w:p w14:paraId="56BC80E5" w14:textId="77777777" w:rsidR="001F2076" w:rsidRDefault="007F3B32">
            <w:pPr>
              <w:spacing w:before="100" w:after="100"/>
              <w:ind w:left="100" w:right="100"/>
            </w:pPr>
            <w:r>
              <w:rPr>
                <w:rFonts w:ascii="Arial" w:eastAsia="Arial" w:hAnsi="Arial" w:cs="Arial"/>
                <w:color w:val="000000"/>
                <w:sz w:val="20"/>
                <w:szCs w:val="20"/>
              </w:rPr>
              <w:t>42 (27, 56)</w:t>
            </w:r>
          </w:p>
        </w:tc>
        <w:tc>
          <w:tcPr>
            <w:tcW w:w="1800" w:type="dxa"/>
            <w:shd w:val="clear" w:color="auto" w:fill="EFEFEF"/>
            <w:tcMar>
              <w:top w:w="0" w:type="dxa"/>
              <w:left w:w="0" w:type="dxa"/>
              <w:bottom w:w="0" w:type="dxa"/>
              <w:right w:w="0" w:type="dxa"/>
            </w:tcMar>
            <w:vAlign w:val="center"/>
          </w:tcPr>
          <w:p w14:paraId="18A9C69B" w14:textId="77777777" w:rsidR="001F2076" w:rsidRDefault="007F3B32">
            <w:pPr>
              <w:spacing w:before="100" w:after="100"/>
              <w:ind w:left="100" w:right="100"/>
            </w:pPr>
            <w:r>
              <w:rPr>
                <w:rFonts w:ascii="Arial" w:eastAsia="Arial" w:hAnsi="Arial" w:cs="Arial"/>
                <w:color w:val="000000"/>
                <w:sz w:val="20"/>
                <w:szCs w:val="20"/>
              </w:rPr>
              <w:t>40 (29, 48)</w:t>
            </w:r>
          </w:p>
        </w:tc>
        <w:tc>
          <w:tcPr>
            <w:tcW w:w="1800" w:type="dxa"/>
            <w:shd w:val="clear" w:color="auto" w:fill="EFEFEF"/>
            <w:tcMar>
              <w:top w:w="0" w:type="dxa"/>
              <w:left w:w="0" w:type="dxa"/>
              <w:bottom w:w="0" w:type="dxa"/>
              <w:right w:w="0" w:type="dxa"/>
            </w:tcMar>
            <w:vAlign w:val="center"/>
          </w:tcPr>
          <w:p w14:paraId="4434F3FC" w14:textId="77777777" w:rsidR="001F2076" w:rsidRDefault="007F3B32">
            <w:pPr>
              <w:spacing w:before="100" w:after="100"/>
              <w:ind w:left="100" w:right="100"/>
            </w:pPr>
            <w:r>
              <w:rPr>
                <w:rFonts w:ascii="Arial" w:eastAsia="Arial" w:hAnsi="Arial" w:cs="Arial"/>
                <w:color w:val="000000"/>
                <w:sz w:val="20"/>
                <w:szCs w:val="20"/>
              </w:rPr>
              <w:t>42 (26, 56)</w:t>
            </w:r>
          </w:p>
        </w:tc>
        <w:tc>
          <w:tcPr>
            <w:tcW w:w="1800" w:type="dxa"/>
            <w:shd w:val="clear" w:color="auto" w:fill="EFEFEF"/>
            <w:tcMar>
              <w:top w:w="0" w:type="dxa"/>
              <w:left w:w="0" w:type="dxa"/>
              <w:bottom w:w="0" w:type="dxa"/>
              <w:right w:w="0" w:type="dxa"/>
            </w:tcMar>
            <w:vAlign w:val="center"/>
          </w:tcPr>
          <w:p w14:paraId="3E80F5EB" w14:textId="77777777" w:rsidR="001F2076" w:rsidRDefault="007F3B32">
            <w:pPr>
              <w:spacing w:before="100" w:after="100"/>
              <w:ind w:left="100" w:right="100"/>
            </w:pPr>
            <w:r>
              <w:rPr>
                <w:rFonts w:ascii="Arial" w:eastAsia="Arial" w:hAnsi="Arial" w:cs="Arial"/>
                <w:color w:val="000000"/>
                <w:sz w:val="20"/>
                <w:szCs w:val="20"/>
              </w:rPr>
              <w:t>42 (29, 53)</w:t>
            </w:r>
          </w:p>
        </w:tc>
      </w:tr>
      <w:tr w:rsidR="001F2076" w14:paraId="22274891" w14:textId="77777777">
        <w:trPr>
          <w:cantSplit/>
          <w:jc w:val="center"/>
        </w:trPr>
        <w:tc>
          <w:tcPr>
            <w:tcW w:w="1800" w:type="dxa"/>
            <w:shd w:val="clear" w:color="auto" w:fill="FFFFFF"/>
            <w:tcMar>
              <w:top w:w="0" w:type="dxa"/>
              <w:left w:w="0" w:type="dxa"/>
              <w:bottom w:w="0" w:type="dxa"/>
              <w:right w:w="0" w:type="dxa"/>
            </w:tcMar>
          </w:tcPr>
          <w:p w14:paraId="32DEC005" w14:textId="77777777" w:rsidR="001F2076" w:rsidRDefault="007F3B32">
            <w:pPr>
              <w:spacing w:before="100" w:after="100"/>
              <w:ind w:left="100" w:right="100"/>
            </w:pPr>
            <w:r>
              <w:rPr>
                <w:rFonts w:ascii="Arial" w:eastAsia="Arial" w:hAnsi="Arial" w:cs="Arial"/>
                <w:color w:val="000000"/>
                <w:sz w:val="20"/>
                <w:szCs w:val="20"/>
              </w:rPr>
              <w:t>HIV Positive</w:t>
            </w:r>
          </w:p>
        </w:tc>
        <w:tc>
          <w:tcPr>
            <w:tcW w:w="1800" w:type="dxa"/>
            <w:shd w:val="clear" w:color="auto" w:fill="FFFFFF"/>
            <w:tcMar>
              <w:top w:w="0" w:type="dxa"/>
              <w:left w:w="0" w:type="dxa"/>
              <w:bottom w:w="0" w:type="dxa"/>
              <w:right w:w="0" w:type="dxa"/>
            </w:tcMar>
            <w:vAlign w:val="center"/>
          </w:tcPr>
          <w:p w14:paraId="2679590F" w14:textId="77777777" w:rsidR="001F2076" w:rsidRDefault="007F3B32">
            <w:pPr>
              <w:spacing w:before="100" w:after="100"/>
              <w:ind w:left="100" w:right="100"/>
            </w:pPr>
            <w:r>
              <w:rPr>
                <w:rFonts w:ascii="Arial" w:eastAsia="Arial" w:hAnsi="Arial" w:cs="Arial"/>
                <w:color w:val="000000"/>
                <w:sz w:val="20"/>
                <w:szCs w:val="20"/>
              </w:rPr>
              <w:t>26 (6.7%)</w:t>
            </w:r>
          </w:p>
        </w:tc>
        <w:tc>
          <w:tcPr>
            <w:tcW w:w="1800" w:type="dxa"/>
            <w:shd w:val="clear" w:color="auto" w:fill="FFFFFF"/>
            <w:tcMar>
              <w:top w:w="0" w:type="dxa"/>
              <w:left w:w="0" w:type="dxa"/>
              <w:bottom w:w="0" w:type="dxa"/>
              <w:right w:w="0" w:type="dxa"/>
            </w:tcMar>
            <w:vAlign w:val="center"/>
          </w:tcPr>
          <w:p w14:paraId="185A54BE" w14:textId="77777777" w:rsidR="001F2076" w:rsidRDefault="007F3B32">
            <w:pPr>
              <w:spacing w:before="100" w:after="100"/>
              <w:ind w:left="100" w:right="100"/>
            </w:pPr>
            <w:r>
              <w:rPr>
                <w:rFonts w:ascii="Arial" w:eastAsia="Arial" w:hAnsi="Arial" w:cs="Arial"/>
                <w:color w:val="000000"/>
                <w:sz w:val="20"/>
                <w:szCs w:val="20"/>
              </w:rPr>
              <w:t>25 (29%)</w:t>
            </w:r>
          </w:p>
        </w:tc>
        <w:tc>
          <w:tcPr>
            <w:tcW w:w="1800" w:type="dxa"/>
            <w:shd w:val="clear" w:color="auto" w:fill="FFFFFF"/>
            <w:tcMar>
              <w:top w:w="0" w:type="dxa"/>
              <w:left w:w="0" w:type="dxa"/>
              <w:bottom w:w="0" w:type="dxa"/>
              <w:right w:w="0" w:type="dxa"/>
            </w:tcMar>
            <w:vAlign w:val="center"/>
          </w:tcPr>
          <w:p w14:paraId="5C71AAA7" w14:textId="77777777" w:rsidR="001F2076" w:rsidRDefault="007F3B32">
            <w:pPr>
              <w:spacing w:before="100" w:after="100"/>
              <w:ind w:left="100" w:right="100"/>
            </w:pPr>
            <w:r>
              <w:rPr>
                <w:rFonts w:ascii="Arial" w:eastAsia="Arial" w:hAnsi="Arial" w:cs="Arial"/>
                <w:color w:val="000000"/>
                <w:sz w:val="20"/>
                <w:szCs w:val="20"/>
              </w:rPr>
              <w:t>27 (6.7%)</w:t>
            </w:r>
          </w:p>
        </w:tc>
        <w:tc>
          <w:tcPr>
            <w:tcW w:w="1800" w:type="dxa"/>
            <w:shd w:val="clear" w:color="auto" w:fill="FFFFFF"/>
            <w:tcMar>
              <w:top w:w="0" w:type="dxa"/>
              <w:left w:w="0" w:type="dxa"/>
              <w:bottom w:w="0" w:type="dxa"/>
              <w:right w:w="0" w:type="dxa"/>
            </w:tcMar>
            <w:vAlign w:val="center"/>
          </w:tcPr>
          <w:p w14:paraId="0FACBA43" w14:textId="77777777" w:rsidR="001F2076" w:rsidRDefault="007F3B32">
            <w:pPr>
              <w:spacing w:before="100" w:after="100"/>
              <w:ind w:left="100" w:right="100"/>
            </w:pPr>
            <w:r>
              <w:rPr>
                <w:rFonts w:ascii="Arial" w:eastAsia="Arial" w:hAnsi="Arial" w:cs="Arial"/>
                <w:color w:val="000000"/>
                <w:sz w:val="20"/>
                <w:szCs w:val="20"/>
              </w:rPr>
              <w:t>24 (34%)</w:t>
            </w:r>
          </w:p>
        </w:tc>
        <w:tc>
          <w:tcPr>
            <w:tcW w:w="1800" w:type="dxa"/>
            <w:shd w:val="clear" w:color="auto" w:fill="FFFFFF"/>
            <w:tcMar>
              <w:top w:w="0" w:type="dxa"/>
              <w:left w:w="0" w:type="dxa"/>
              <w:bottom w:w="0" w:type="dxa"/>
              <w:right w:w="0" w:type="dxa"/>
            </w:tcMar>
            <w:vAlign w:val="center"/>
          </w:tcPr>
          <w:p w14:paraId="70725DE6" w14:textId="77777777" w:rsidR="001F2076" w:rsidRDefault="007F3B32">
            <w:pPr>
              <w:spacing w:before="100" w:after="100"/>
              <w:ind w:left="100" w:right="100"/>
            </w:pPr>
            <w:r>
              <w:rPr>
                <w:rFonts w:ascii="Arial" w:eastAsia="Arial" w:hAnsi="Arial" w:cs="Arial"/>
                <w:color w:val="000000"/>
                <w:sz w:val="20"/>
                <w:szCs w:val="20"/>
              </w:rPr>
              <w:t>18 (5.1%)</w:t>
            </w:r>
          </w:p>
        </w:tc>
        <w:tc>
          <w:tcPr>
            <w:tcW w:w="1800" w:type="dxa"/>
            <w:shd w:val="clear" w:color="auto" w:fill="FFFFFF"/>
            <w:tcMar>
              <w:top w:w="0" w:type="dxa"/>
              <w:left w:w="0" w:type="dxa"/>
              <w:bottom w:w="0" w:type="dxa"/>
              <w:right w:w="0" w:type="dxa"/>
            </w:tcMar>
            <w:vAlign w:val="center"/>
          </w:tcPr>
          <w:p w14:paraId="6E893E48" w14:textId="77777777" w:rsidR="001F2076" w:rsidRDefault="007F3B32">
            <w:pPr>
              <w:spacing w:before="100" w:after="100"/>
              <w:ind w:left="100" w:right="100"/>
            </w:pPr>
            <w:r>
              <w:rPr>
                <w:rFonts w:ascii="Arial" w:eastAsia="Arial" w:hAnsi="Arial" w:cs="Arial"/>
                <w:color w:val="000000"/>
                <w:sz w:val="20"/>
                <w:szCs w:val="20"/>
              </w:rPr>
              <w:t>33 (27%)</w:t>
            </w:r>
          </w:p>
        </w:tc>
      </w:tr>
      <w:tr w:rsidR="001F2076" w14:paraId="7C2989FE" w14:textId="77777777">
        <w:trPr>
          <w:cantSplit/>
          <w:jc w:val="center"/>
        </w:trPr>
        <w:tc>
          <w:tcPr>
            <w:tcW w:w="1800" w:type="dxa"/>
            <w:shd w:val="clear" w:color="auto" w:fill="EFEFEF"/>
            <w:tcMar>
              <w:top w:w="0" w:type="dxa"/>
              <w:left w:w="0" w:type="dxa"/>
              <w:bottom w:w="0" w:type="dxa"/>
              <w:right w:w="0" w:type="dxa"/>
            </w:tcMar>
          </w:tcPr>
          <w:p w14:paraId="5817B89E"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21126C5A" w14:textId="77777777" w:rsidR="001F2076" w:rsidRDefault="007F3B32">
            <w:pPr>
              <w:spacing w:before="100" w:after="100"/>
              <w:ind w:left="100" w:right="100"/>
            </w:pPr>
            <w:r>
              <w:rPr>
                <w:rFonts w:ascii="Arial" w:eastAsia="Arial" w:hAnsi="Arial" w:cs="Arial"/>
                <w:color w:val="000000"/>
                <w:sz w:val="20"/>
                <w:szCs w:val="20"/>
              </w:rPr>
              <w:t>208</w:t>
            </w:r>
          </w:p>
        </w:tc>
        <w:tc>
          <w:tcPr>
            <w:tcW w:w="1800" w:type="dxa"/>
            <w:shd w:val="clear" w:color="auto" w:fill="EFEFEF"/>
            <w:tcMar>
              <w:top w:w="0" w:type="dxa"/>
              <w:left w:w="0" w:type="dxa"/>
              <w:bottom w:w="0" w:type="dxa"/>
              <w:right w:w="0" w:type="dxa"/>
            </w:tcMar>
            <w:vAlign w:val="center"/>
          </w:tcPr>
          <w:p w14:paraId="5AD38233" w14:textId="77777777" w:rsidR="001F2076" w:rsidRDefault="007F3B32">
            <w:pPr>
              <w:spacing w:before="100" w:after="100"/>
              <w:ind w:left="100" w:right="100"/>
            </w:pPr>
            <w:r>
              <w:rPr>
                <w:rFonts w:ascii="Arial" w:eastAsia="Arial" w:hAnsi="Arial" w:cs="Arial"/>
                <w:color w:val="000000"/>
                <w:sz w:val="20"/>
                <w:szCs w:val="20"/>
              </w:rPr>
              <w:t>6</w:t>
            </w:r>
          </w:p>
        </w:tc>
        <w:tc>
          <w:tcPr>
            <w:tcW w:w="1800" w:type="dxa"/>
            <w:shd w:val="clear" w:color="auto" w:fill="EFEFEF"/>
            <w:tcMar>
              <w:top w:w="0" w:type="dxa"/>
              <w:left w:w="0" w:type="dxa"/>
              <w:bottom w:w="0" w:type="dxa"/>
              <w:right w:w="0" w:type="dxa"/>
            </w:tcMar>
            <w:vAlign w:val="center"/>
          </w:tcPr>
          <w:p w14:paraId="7F36BFA2" w14:textId="77777777" w:rsidR="001F2076" w:rsidRDefault="007F3B32">
            <w:pPr>
              <w:spacing w:before="100" w:after="100"/>
              <w:ind w:left="100" w:right="100"/>
            </w:pPr>
            <w:r>
              <w:rPr>
                <w:rFonts w:ascii="Arial" w:eastAsia="Arial" w:hAnsi="Arial" w:cs="Arial"/>
                <w:color w:val="000000"/>
                <w:sz w:val="20"/>
                <w:szCs w:val="20"/>
              </w:rPr>
              <w:t>211</w:t>
            </w:r>
          </w:p>
        </w:tc>
        <w:tc>
          <w:tcPr>
            <w:tcW w:w="1800" w:type="dxa"/>
            <w:shd w:val="clear" w:color="auto" w:fill="EFEFEF"/>
            <w:tcMar>
              <w:top w:w="0" w:type="dxa"/>
              <w:left w:w="0" w:type="dxa"/>
              <w:bottom w:w="0" w:type="dxa"/>
              <w:right w:w="0" w:type="dxa"/>
            </w:tcMar>
            <w:vAlign w:val="center"/>
          </w:tcPr>
          <w:p w14:paraId="72629346" w14:textId="77777777" w:rsidR="001F2076" w:rsidRDefault="007F3B32">
            <w:pPr>
              <w:spacing w:before="100" w:after="100"/>
              <w:ind w:left="100" w:right="100"/>
            </w:pPr>
            <w:r>
              <w:rPr>
                <w:rFonts w:ascii="Arial" w:eastAsia="Arial" w:hAnsi="Arial" w:cs="Arial"/>
                <w:color w:val="000000"/>
                <w:sz w:val="20"/>
                <w:szCs w:val="20"/>
              </w:rPr>
              <w:t>3</w:t>
            </w:r>
          </w:p>
        </w:tc>
        <w:tc>
          <w:tcPr>
            <w:tcW w:w="1800" w:type="dxa"/>
            <w:shd w:val="clear" w:color="auto" w:fill="EFEFEF"/>
            <w:tcMar>
              <w:top w:w="0" w:type="dxa"/>
              <w:left w:w="0" w:type="dxa"/>
              <w:bottom w:w="0" w:type="dxa"/>
              <w:right w:w="0" w:type="dxa"/>
            </w:tcMar>
            <w:vAlign w:val="center"/>
          </w:tcPr>
          <w:p w14:paraId="4AB8D426" w14:textId="77777777" w:rsidR="001F2076" w:rsidRDefault="007F3B32">
            <w:pPr>
              <w:spacing w:before="100" w:after="100"/>
              <w:ind w:left="100" w:right="100"/>
            </w:pPr>
            <w:r>
              <w:rPr>
                <w:rFonts w:ascii="Arial" w:eastAsia="Arial" w:hAnsi="Arial" w:cs="Arial"/>
                <w:color w:val="000000"/>
                <w:sz w:val="20"/>
                <w:szCs w:val="20"/>
              </w:rPr>
              <w:t>202</w:t>
            </w:r>
          </w:p>
        </w:tc>
        <w:tc>
          <w:tcPr>
            <w:tcW w:w="1800" w:type="dxa"/>
            <w:shd w:val="clear" w:color="auto" w:fill="EFEFEF"/>
            <w:tcMar>
              <w:top w:w="0" w:type="dxa"/>
              <w:left w:w="0" w:type="dxa"/>
              <w:bottom w:w="0" w:type="dxa"/>
              <w:right w:w="0" w:type="dxa"/>
            </w:tcMar>
            <w:vAlign w:val="center"/>
          </w:tcPr>
          <w:p w14:paraId="2FAF890D" w14:textId="77777777" w:rsidR="001F2076" w:rsidRDefault="007F3B32">
            <w:pPr>
              <w:spacing w:before="100" w:after="100"/>
              <w:ind w:left="100" w:right="100"/>
            </w:pPr>
            <w:r>
              <w:rPr>
                <w:rFonts w:ascii="Arial" w:eastAsia="Arial" w:hAnsi="Arial" w:cs="Arial"/>
                <w:color w:val="000000"/>
                <w:sz w:val="20"/>
                <w:szCs w:val="20"/>
              </w:rPr>
              <w:t>12</w:t>
            </w:r>
          </w:p>
        </w:tc>
      </w:tr>
      <w:tr w:rsidR="001F2076" w14:paraId="03F15EDD" w14:textId="77777777">
        <w:trPr>
          <w:cantSplit/>
          <w:jc w:val="center"/>
        </w:trPr>
        <w:tc>
          <w:tcPr>
            <w:tcW w:w="1800" w:type="dxa"/>
            <w:shd w:val="clear" w:color="auto" w:fill="FFFFFF"/>
            <w:tcMar>
              <w:top w:w="0" w:type="dxa"/>
              <w:left w:w="0" w:type="dxa"/>
              <w:bottom w:w="0" w:type="dxa"/>
              <w:right w:w="0" w:type="dxa"/>
            </w:tcMar>
          </w:tcPr>
          <w:p w14:paraId="609FC00B" w14:textId="77777777" w:rsidR="001F2076" w:rsidRDefault="007F3B32">
            <w:pPr>
              <w:spacing w:before="100" w:after="100"/>
              <w:ind w:left="100" w:right="100"/>
            </w:pPr>
            <w:r>
              <w:rPr>
                <w:rFonts w:ascii="Arial" w:eastAsia="Arial" w:hAnsi="Arial" w:cs="Arial"/>
                <w:color w:val="000000"/>
                <w:sz w:val="20"/>
                <w:szCs w:val="20"/>
              </w:rPr>
              <w:t>Diabetes</w:t>
            </w:r>
          </w:p>
        </w:tc>
        <w:tc>
          <w:tcPr>
            <w:tcW w:w="1800" w:type="dxa"/>
            <w:shd w:val="clear" w:color="auto" w:fill="FFFFFF"/>
            <w:tcMar>
              <w:top w:w="0" w:type="dxa"/>
              <w:left w:w="0" w:type="dxa"/>
              <w:bottom w:w="0" w:type="dxa"/>
              <w:right w:w="0" w:type="dxa"/>
            </w:tcMar>
            <w:vAlign w:val="center"/>
          </w:tcPr>
          <w:p w14:paraId="6B97600D" w14:textId="77777777" w:rsidR="001F2076" w:rsidRDefault="007F3B32">
            <w:pPr>
              <w:spacing w:before="100" w:after="100"/>
              <w:ind w:left="100" w:right="100"/>
            </w:pPr>
            <w:r>
              <w:rPr>
                <w:rFonts w:ascii="Arial" w:eastAsia="Arial" w:hAnsi="Arial" w:cs="Arial"/>
                <w:color w:val="000000"/>
                <w:sz w:val="20"/>
                <w:szCs w:val="20"/>
              </w:rPr>
              <w:t>37 (6.2%)</w:t>
            </w:r>
          </w:p>
        </w:tc>
        <w:tc>
          <w:tcPr>
            <w:tcW w:w="1800" w:type="dxa"/>
            <w:shd w:val="clear" w:color="auto" w:fill="FFFFFF"/>
            <w:tcMar>
              <w:top w:w="0" w:type="dxa"/>
              <w:left w:w="0" w:type="dxa"/>
              <w:bottom w:w="0" w:type="dxa"/>
              <w:right w:w="0" w:type="dxa"/>
            </w:tcMar>
            <w:vAlign w:val="center"/>
          </w:tcPr>
          <w:p w14:paraId="294CCECE" w14:textId="77777777" w:rsidR="001F2076" w:rsidRDefault="007F3B32">
            <w:pPr>
              <w:spacing w:before="100" w:after="100"/>
              <w:ind w:left="100" w:right="100"/>
            </w:pPr>
            <w:r>
              <w:rPr>
                <w:rFonts w:ascii="Arial" w:eastAsia="Arial" w:hAnsi="Arial" w:cs="Arial"/>
                <w:color w:val="000000"/>
                <w:sz w:val="20"/>
                <w:szCs w:val="20"/>
              </w:rPr>
              <w:t>2 (2.2%)</w:t>
            </w:r>
          </w:p>
        </w:tc>
        <w:tc>
          <w:tcPr>
            <w:tcW w:w="1800" w:type="dxa"/>
            <w:shd w:val="clear" w:color="auto" w:fill="FFFFFF"/>
            <w:tcMar>
              <w:top w:w="0" w:type="dxa"/>
              <w:left w:w="0" w:type="dxa"/>
              <w:bottom w:w="0" w:type="dxa"/>
              <w:right w:w="0" w:type="dxa"/>
            </w:tcMar>
            <w:vAlign w:val="center"/>
          </w:tcPr>
          <w:p w14:paraId="02A686E3" w14:textId="77777777" w:rsidR="001F2076" w:rsidRDefault="007F3B32">
            <w:pPr>
              <w:spacing w:before="100" w:after="100"/>
              <w:ind w:left="100" w:right="100"/>
            </w:pPr>
            <w:r>
              <w:rPr>
                <w:rFonts w:ascii="Arial" w:eastAsia="Arial" w:hAnsi="Arial" w:cs="Arial"/>
                <w:color w:val="000000"/>
                <w:sz w:val="20"/>
                <w:szCs w:val="20"/>
              </w:rPr>
              <w:t>39 (6.4%)</w:t>
            </w:r>
          </w:p>
        </w:tc>
        <w:tc>
          <w:tcPr>
            <w:tcW w:w="1800" w:type="dxa"/>
            <w:shd w:val="clear" w:color="auto" w:fill="FFFFFF"/>
            <w:tcMar>
              <w:top w:w="0" w:type="dxa"/>
              <w:left w:w="0" w:type="dxa"/>
              <w:bottom w:w="0" w:type="dxa"/>
              <w:right w:w="0" w:type="dxa"/>
            </w:tcMar>
            <w:vAlign w:val="center"/>
          </w:tcPr>
          <w:p w14:paraId="499161F8" w14:textId="77777777" w:rsidR="001F2076" w:rsidRDefault="007F3B32">
            <w:pPr>
              <w:spacing w:before="100" w:after="100"/>
              <w:ind w:left="100" w:right="100"/>
            </w:pPr>
            <w:r>
              <w:rPr>
                <w:rFonts w:ascii="Arial" w:eastAsia="Arial" w:hAnsi="Arial" w:cs="Arial"/>
                <w:color w:val="000000"/>
                <w:sz w:val="20"/>
                <w:szCs w:val="20"/>
              </w:rPr>
              <w:t>0 (0%)</w:t>
            </w:r>
          </w:p>
        </w:tc>
        <w:tc>
          <w:tcPr>
            <w:tcW w:w="1800" w:type="dxa"/>
            <w:shd w:val="clear" w:color="auto" w:fill="FFFFFF"/>
            <w:tcMar>
              <w:top w:w="0" w:type="dxa"/>
              <w:left w:w="0" w:type="dxa"/>
              <w:bottom w:w="0" w:type="dxa"/>
              <w:right w:w="0" w:type="dxa"/>
            </w:tcMar>
            <w:vAlign w:val="center"/>
          </w:tcPr>
          <w:p w14:paraId="69684714" w14:textId="77777777" w:rsidR="001F2076" w:rsidRDefault="007F3B32">
            <w:pPr>
              <w:spacing w:before="100" w:after="100"/>
              <w:ind w:left="100" w:right="100"/>
            </w:pPr>
            <w:r>
              <w:rPr>
                <w:rFonts w:ascii="Arial" w:eastAsia="Arial" w:hAnsi="Arial" w:cs="Arial"/>
                <w:color w:val="000000"/>
                <w:sz w:val="20"/>
                <w:szCs w:val="20"/>
              </w:rPr>
              <w:t>35 (6.3%)</w:t>
            </w:r>
          </w:p>
        </w:tc>
        <w:tc>
          <w:tcPr>
            <w:tcW w:w="1800" w:type="dxa"/>
            <w:shd w:val="clear" w:color="auto" w:fill="FFFFFF"/>
            <w:tcMar>
              <w:top w:w="0" w:type="dxa"/>
              <w:left w:w="0" w:type="dxa"/>
              <w:bottom w:w="0" w:type="dxa"/>
              <w:right w:w="0" w:type="dxa"/>
            </w:tcMar>
            <w:vAlign w:val="center"/>
          </w:tcPr>
          <w:p w14:paraId="607BAEE5" w14:textId="77777777" w:rsidR="001F2076" w:rsidRDefault="007F3B32">
            <w:pPr>
              <w:spacing w:before="100" w:after="100"/>
              <w:ind w:left="100" w:right="100"/>
            </w:pPr>
            <w:r>
              <w:rPr>
                <w:rFonts w:ascii="Arial" w:eastAsia="Arial" w:hAnsi="Arial" w:cs="Arial"/>
                <w:color w:val="000000"/>
                <w:sz w:val="20"/>
                <w:szCs w:val="20"/>
              </w:rPr>
              <w:t>4 (3.0%)</w:t>
            </w:r>
          </w:p>
        </w:tc>
      </w:tr>
      <w:tr w:rsidR="001F2076" w14:paraId="0A9222BA" w14:textId="77777777">
        <w:trPr>
          <w:cantSplit/>
          <w:jc w:val="center"/>
        </w:trPr>
        <w:tc>
          <w:tcPr>
            <w:tcW w:w="1800" w:type="dxa"/>
            <w:shd w:val="clear" w:color="auto" w:fill="EFEFEF"/>
            <w:tcMar>
              <w:top w:w="0" w:type="dxa"/>
              <w:left w:w="0" w:type="dxa"/>
              <w:bottom w:w="0" w:type="dxa"/>
              <w:right w:w="0" w:type="dxa"/>
            </w:tcMar>
          </w:tcPr>
          <w:p w14:paraId="5DD0E554" w14:textId="77777777" w:rsidR="001F2076" w:rsidRDefault="007F3B32">
            <w:pPr>
              <w:spacing w:before="100" w:after="100"/>
              <w:ind w:left="100" w:right="100"/>
            </w:pPr>
            <w:r>
              <w:rPr>
                <w:rFonts w:ascii="Arial" w:eastAsia="Arial" w:hAnsi="Arial" w:cs="Arial"/>
                <w:color w:val="000000"/>
                <w:sz w:val="20"/>
                <w:szCs w:val="20"/>
              </w:rPr>
              <w:t>Day from onset</w:t>
            </w:r>
          </w:p>
        </w:tc>
        <w:tc>
          <w:tcPr>
            <w:tcW w:w="1800" w:type="dxa"/>
            <w:shd w:val="clear" w:color="auto" w:fill="EFEFEF"/>
            <w:tcMar>
              <w:top w:w="0" w:type="dxa"/>
              <w:left w:w="0" w:type="dxa"/>
              <w:bottom w:w="0" w:type="dxa"/>
              <w:right w:w="0" w:type="dxa"/>
            </w:tcMar>
            <w:vAlign w:val="center"/>
          </w:tcPr>
          <w:p w14:paraId="31FAA554" w14:textId="77777777" w:rsidR="001F2076" w:rsidRDefault="007F3B32">
            <w:pPr>
              <w:spacing w:before="100" w:after="100"/>
              <w:ind w:left="100" w:right="100"/>
            </w:pPr>
            <w:r>
              <w:rPr>
                <w:rFonts w:ascii="Arial" w:eastAsia="Arial" w:hAnsi="Arial" w:cs="Arial"/>
                <w:color w:val="000000"/>
                <w:sz w:val="20"/>
                <w:szCs w:val="20"/>
              </w:rPr>
              <w:t>10 (4, 11)</w:t>
            </w:r>
          </w:p>
        </w:tc>
        <w:tc>
          <w:tcPr>
            <w:tcW w:w="1800" w:type="dxa"/>
            <w:shd w:val="clear" w:color="auto" w:fill="EFEFEF"/>
            <w:tcMar>
              <w:top w:w="0" w:type="dxa"/>
              <w:left w:w="0" w:type="dxa"/>
              <w:bottom w:w="0" w:type="dxa"/>
              <w:right w:w="0" w:type="dxa"/>
            </w:tcMar>
            <w:vAlign w:val="center"/>
          </w:tcPr>
          <w:p w14:paraId="77A54AE0" w14:textId="77777777" w:rsidR="001F2076" w:rsidRDefault="007F3B32">
            <w:pPr>
              <w:spacing w:before="100" w:after="100"/>
              <w:ind w:left="100" w:right="100"/>
            </w:pPr>
            <w:r>
              <w:rPr>
                <w:rFonts w:ascii="Arial" w:eastAsia="Arial" w:hAnsi="Arial" w:cs="Arial"/>
                <w:color w:val="000000"/>
                <w:sz w:val="20"/>
                <w:szCs w:val="20"/>
              </w:rPr>
              <w:t>19 (10, 20)</w:t>
            </w:r>
          </w:p>
        </w:tc>
        <w:tc>
          <w:tcPr>
            <w:tcW w:w="1800" w:type="dxa"/>
            <w:shd w:val="clear" w:color="auto" w:fill="EFEFEF"/>
            <w:tcMar>
              <w:top w:w="0" w:type="dxa"/>
              <w:left w:w="0" w:type="dxa"/>
              <w:bottom w:w="0" w:type="dxa"/>
              <w:right w:w="0" w:type="dxa"/>
            </w:tcMar>
            <w:vAlign w:val="center"/>
          </w:tcPr>
          <w:p w14:paraId="1B365888" w14:textId="77777777" w:rsidR="001F2076" w:rsidRDefault="007F3B32">
            <w:pPr>
              <w:spacing w:before="100" w:after="100"/>
              <w:ind w:left="100" w:right="100"/>
            </w:pPr>
            <w:r>
              <w:rPr>
                <w:rFonts w:ascii="Arial" w:eastAsia="Arial" w:hAnsi="Arial" w:cs="Arial"/>
                <w:color w:val="000000"/>
                <w:sz w:val="20"/>
                <w:szCs w:val="20"/>
              </w:rPr>
              <w:t>10 (4, 11)</w:t>
            </w:r>
          </w:p>
        </w:tc>
        <w:tc>
          <w:tcPr>
            <w:tcW w:w="1800" w:type="dxa"/>
            <w:shd w:val="clear" w:color="auto" w:fill="EFEFEF"/>
            <w:tcMar>
              <w:top w:w="0" w:type="dxa"/>
              <w:left w:w="0" w:type="dxa"/>
              <w:bottom w:w="0" w:type="dxa"/>
              <w:right w:w="0" w:type="dxa"/>
            </w:tcMar>
            <w:vAlign w:val="center"/>
          </w:tcPr>
          <w:p w14:paraId="0EEF1547" w14:textId="77777777" w:rsidR="001F2076" w:rsidRDefault="007F3B32">
            <w:pPr>
              <w:spacing w:before="100" w:after="100"/>
              <w:ind w:left="100" w:right="100"/>
            </w:pPr>
            <w:r>
              <w:rPr>
                <w:rFonts w:ascii="Arial" w:eastAsia="Arial" w:hAnsi="Arial" w:cs="Arial"/>
                <w:color w:val="000000"/>
                <w:sz w:val="20"/>
                <w:szCs w:val="20"/>
              </w:rPr>
              <w:t>20 (11, 22)</w:t>
            </w:r>
          </w:p>
        </w:tc>
        <w:tc>
          <w:tcPr>
            <w:tcW w:w="1800" w:type="dxa"/>
            <w:shd w:val="clear" w:color="auto" w:fill="EFEFEF"/>
            <w:tcMar>
              <w:top w:w="0" w:type="dxa"/>
              <w:left w:w="0" w:type="dxa"/>
              <w:bottom w:w="0" w:type="dxa"/>
              <w:right w:w="0" w:type="dxa"/>
            </w:tcMar>
            <w:vAlign w:val="center"/>
          </w:tcPr>
          <w:p w14:paraId="050FFD4B" w14:textId="77777777" w:rsidR="001F2076" w:rsidRDefault="007F3B32">
            <w:pPr>
              <w:spacing w:before="100" w:after="100"/>
              <w:ind w:left="100" w:right="100"/>
            </w:pPr>
            <w:r>
              <w:rPr>
                <w:rFonts w:ascii="Arial" w:eastAsia="Arial" w:hAnsi="Arial" w:cs="Arial"/>
                <w:color w:val="000000"/>
                <w:sz w:val="20"/>
                <w:szCs w:val="20"/>
              </w:rPr>
              <w:t>10 (4, 11)</w:t>
            </w:r>
          </w:p>
        </w:tc>
        <w:tc>
          <w:tcPr>
            <w:tcW w:w="1800" w:type="dxa"/>
            <w:shd w:val="clear" w:color="auto" w:fill="EFEFEF"/>
            <w:tcMar>
              <w:top w:w="0" w:type="dxa"/>
              <w:left w:w="0" w:type="dxa"/>
              <w:bottom w:w="0" w:type="dxa"/>
              <w:right w:w="0" w:type="dxa"/>
            </w:tcMar>
            <w:vAlign w:val="center"/>
          </w:tcPr>
          <w:p w14:paraId="5174D813" w14:textId="77777777" w:rsidR="001F2076" w:rsidRDefault="007F3B32">
            <w:pPr>
              <w:spacing w:before="100" w:after="100"/>
              <w:ind w:left="100" w:right="100"/>
            </w:pPr>
            <w:r>
              <w:rPr>
                <w:rFonts w:ascii="Arial" w:eastAsia="Arial" w:hAnsi="Arial" w:cs="Arial"/>
                <w:color w:val="000000"/>
                <w:sz w:val="20"/>
                <w:szCs w:val="20"/>
              </w:rPr>
              <w:t>16 (8, 17)</w:t>
            </w:r>
          </w:p>
        </w:tc>
      </w:tr>
      <w:tr w:rsidR="001F2076" w14:paraId="1741E98D" w14:textId="77777777">
        <w:trPr>
          <w:cantSplit/>
          <w:jc w:val="center"/>
        </w:trPr>
        <w:tc>
          <w:tcPr>
            <w:tcW w:w="1800" w:type="dxa"/>
            <w:shd w:val="clear" w:color="auto" w:fill="FFFFFF"/>
            <w:tcMar>
              <w:top w:w="0" w:type="dxa"/>
              <w:left w:w="0" w:type="dxa"/>
              <w:bottom w:w="0" w:type="dxa"/>
              <w:right w:w="0" w:type="dxa"/>
            </w:tcMar>
          </w:tcPr>
          <w:p w14:paraId="234AFA89"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0E7A1FC2" w14:textId="77777777" w:rsidR="001F2076" w:rsidRDefault="007F3B32">
            <w:pPr>
              <w:spacing w:before="100" w:after="100"/>
              <w:ind w:left="100" w:right="100"/>
            </w:pPr>
            <w:r>
              <w:rPr>
                <w:rFonts w:ascii="Arial" w:eastAsia="Arial" w:hAnsi="Arial" w:cs="Arial"/>
                <w:color w:val="000000"/>
                <w:sz w:val="20"/>
                <w:szCs w:val="20"/>
              </w:rPr>
              <w:t>21</w:t>
            </w:r>
          </w:p>
        </w:tc>
        <w:tc>
          <w:tcPr>
            <w:tcW w:w="1800" w:type="dxa"/>
            <w:shd w:val="clear" w:color="auto" w:fill="FFFFFF"/>
            <w:tcMar>
              <w:top w:w="0" w:type="dxa"/>
              <w:left w:w="0" w:type="dxa"/>
              <w:bottom w:w="0" w:type="dxa"/>
              <w:right w:w="0" w:type="dxa"/>
            </w:tcMar>
            <w:vAlign w:val="center"/>
          </w:tcPr>
          <w:p w14:paraId="7E20FB9D" w14:textId="77777777" w:rsidR="001F2076" w:rsidRDefault="007F3B32">
            <w:pPr>
              <w:spacing w:before="100" w:after="100"/>
              <w:ind w:left="100" w:right="100"/>
            </w:pPr>
            <w:r>
              <w:rPr>
                <w:rFonts w:ascii="Arial" w:eastAsia="Arial" w:hAnsi="Arial" w:cs="Arial"/>
                <w:color w:val="000000"/>
                <w:sz w:val="20"/>
                <w:szCs w:val="20"/>
              </w:rPr>
              <w:t>8</w:t>
            </w:r>
          </w:p>
        </w:tc>
        <w:tc>
          <w:tcPr>
            <w:tcW w:w="1800" w:type="dxa"/>
            <w:shd w:val="clear" w:color="auto" w:fill="FFFFFF"/>
            <w:tcMar>
              <w:top w:w="0" w:type="dxa"/>
              <w:left w:w="0" w:type="dxa"/>
              <w:bottom w:w="0" w:type="dxa"/>
              <w:right w:w="0" w:type="dxa"/>
            </w:tcMar>
            <w:vAlign w:val="center"/>
          </w:tcPr>
          <w:p w14:paraId="5261A155" w14:textId="77777777" w:rsidR="001F2076" w:rsidRDefault="007F3B32">
            <w:pPr>
              <w:spacing w:before="100" w:after="100"/>
              <w:ind w:left="100" w:right="100"/>
            </w:pPr>
            <w:r>
              <w:rPr>
                <w:rFonts w:ascii="Arial" w:eastAsia="Arial" w:hAnsi="Arial" w:cs="Arial"/>
                <w:color w:val="000000"/>
                <w:sz w:val="20"/>
                <w:szCs w:val="20"/>
              </w:rPr>
              <w:t>22</w:t>
            </w:r>
          </w:p>
        </w:tc>
        <w:tc>
          <w:tcPr>
            <w:tcW w:w="1800" w:type="dxa"/>
            <w:shd w:val="clear" w:color="auto" w:fill="FFFFFF"/>
            <w:tcMar>
              <w:top w:w="0" w:type="dxa"/>
              <w:left w:w="0" w:type="dxa"/>
              <w:bottom w:w="0" w:type="dxa"/>
              <w:right w:w="0" w:type="dxa"/>
            </w:tcMar>
            <w:vAlign w:val="center"/>
          </w:tcPr>
          <w:p w14:paraId="067717EB" w14:textId="77777777" w:rsidR="001F2076" w:rsidRDefault="007F3B32">
            <w:pPr>
              <w:spacing w:before="100" w:after="100"/>
              <w:ind w:left="100" w:right="100"/>
            </w:pPr>
            <w:r>
              <w:rPr>
                <w:rFonts w:ascii="Arial" w:eastAsia="Arial" w:hAnsi="Arial" w:cs="Arial"/>
                <w:color w:val="000000"/>
                <w:sz w:val="20"/>
                <w:szCs w:val="20"/>
              </w:rPr>
              <w:t>7</w:t>
            </w:r>
          </w:p>
        </w:tc>
        <w:tc>
          <w:tcPr>
            <w:tcW w:w="1800" w:type="dxa"/>
            <w:shd w:val="clear" w:color="auto" w:fill="FFFFFF"/>
            <w:tcMar>
              <w:top w:w="0" w:type="dxa"/>
              <w:left w:w="0" w:type="dxa"/>
              <w:bottom w:w="0" w:type="dxa"/>
              <w:right w:w="0" w:type="dxa"/>
            </w:tcMar>
            <w:vAlign w:val="center"/>
          </w:tcPr>
          <w:p w14:paraId="21DD4447" w14:textId="77777777" w:rsidR="001F2076" w:rsidRDefault="007F3B32">
            <w:pPr>
              <w:spacing w:before="100" w:after="100"/>
              <w:ind w:left="100" w:right="100"/>
            </w:pPr>
            <w:r>
              <w:rPr>
                <w:rFonts w:ascii="Arial" w:eastAsia="Arial" w:hAnsi="Arial" w:cs="Arial"/>
                <w:color w:val="000000"/>
                <w:sz w:val="20"/>
                <w:szCs w:val="20"/>
              </w:rPr>
              <w:t>19</w:t>
            </w:r>
          </w:p>
        </w:tc>
        <w:tc>
          <w:tcPr>
            <w:tcW w:w="1800" w:type="dxa"/>
            <w:shd w:val="clear" w:color="auto" w:fill="FFFFFF"/>
            <w:tcMar>
              <w:top w:w="0" w:type="dxa"/>
              <w:left w:w="0" w:type="dxa"/>
              <w:bottom w:w="0" w:type="dxa"/>
              <w:right w:w="0" w:type="dxa"/>
            </w:tcMar>
            <w:vAlign w:val="center"/>
          </w:tcPr>
          <w:p w14:paraId="40910A38" w14:textId="77777777" w:rsidR="001F2076" w:rsidRDefault="007F3B32">
            <w:pPr>
              <w:spacing w:before="100" w:after="100"/>
              <w:ind w:left="100" w:right="100"/>
            </w:pPr>
            <w:r>
              <w:rPr>
                <w:rFonts w:ascii="Arial" w:eastAsia="Arial" w:hAnsi="Arial" w:cs="Arial"/>
                <w:color w:val="000000"/>
                <w:sz w:val="20"/>
                <w:szCs w:val="20"/>
              </w:rPr>
              <w:t>10</w:t>
            </w:r>
          </w:p>
        </w:tc>
      </w:tr>
      <w:tr w:rsidR="001F2076" w14:paraId="2A595E88" w14:textId="77777777">
        <w:trPr>
          <w:cantSplit/>
          <w:jc w:val="center"/>
        </w:trPr>
        <w:tc>
          <w:tcPr>
            <w:tcW w:w="1800" w:type="dxa"/>
            <w:shd w:val="clear" w:color="auto" w:fill="EFEFEF"/>
            <w:tcMar>
              <w:top w:w="0" w:type="dxa"/>
              <w:left w:w="0" w:type="dxa"/>
              <w:bottom w:w="0" w:type="dxa"/>
              <w:right w:w="0" w:type="dxa"/>
            </w:tcMar>
          </w:tcPr>
          <w:p w14:paraId="56A98C94" w14:textId="77777777" w:rsidR="001F2076" w:rsidRDefault="007F3B32">
            <w:pPr>
              <w:spacing w:before="100" w:after="100"/>
              <w:ind w:left="100" w:right="100"/>
            </w:pPr>
            <w:r>
              <w:rPr>
                <w:rFonts w:ascii="Arial" w:eastAsia="Arial" w:hAnsi="Arial" w:cs="Arial"/>
                <w:color w:val="000000"/>
                <w:sz w:val="20"/>
                <w:szCs w:val="20"/>
              </w:rPr>
              <w:t>TB-suggested symptoms</w:t>
            </w:r>
          </w:p>
        </w:tc>
        <w:tc>
          <w:tcPr>
            <w:tcW w:w="1800" w:type="dxa"/>
            <w:shd w:val="clear" w:color="auto" w:fill="EFEFEF"/>
            <w:tcMar>
              <w:top w:w="0" w:type="dxa"/>
              <w:left w:w="0" w:type="dxa"/>
              <w:bottom w:w="0" w:type="dxa"/>
              <w:right w:w="0" w:type="dxa"/>
            </w:tcMar>
            <w:vAlign w:val="center"/>
          </w:tcPr>
          <w:p w14:paraId="4182F91C" w14:textId="77777777" w:rsidR="001F2076" w:rsidRDefault="007F3B32">
            <w:pPr>
              <w:spacing w:before="100" w:after="100"/>
              <w:ind w:left="100" w:right="100"/>
            </w:pPr>
            <w:r>
              <w:rPr>
                <w:rFonts w:ascii="Arial" w:eastAsia="Arial" w:hAnsi="Arial" w:cs="Arial"/>
                <w:color w:val="000000"/>
                <w:sz w:val="20"/>
                <w:szCs w:val="20"/>
              </w:rPr>
              <w:t>82 (23%)</w:t>
            </w:r>
          </w:p>
        </w:tc>
        <w:tc>
          <w:tcPr>
            <w:tcW w:w="1800" w:type="dxa"/>
            <w:shd w:val="clear" w:color="auto" w:fill="EFEFEF"/>
            <w:tcMar>
              <w:top w:w="0" w:type="dxa"/>
              <w:left w:w="0" w:type="dxa"/>
              <w:bottom w:w="0" w:type="dxa"/>
              <w:right w:w="0" w:type="dxa"/>
            </w:tcMar>
            <w:vAlign w:val="center"/>
          </w:tcPr>
          <w:p w14:paraId="589B7DDD" w14:textId="77777777" w:rsidR="001F2076" w:rsidRDefault="007F3B32">
            <w:pPr>
              <w:spacing w:before="100" w:after="100"/>
              <w:ind w:left="100" w:right="100"/>
            </w:pPr>
            <w:r>
              <w:rPr>
                <w:rFonts w:ascii="Arial" w:eastAsia="Arial" w:hAnsi="Arial" w:cs="Arial"/>
                <w:color w:val="000000"/>
                <w:sz w:val="20"/>
                <w:szCs w:val="20"/>
              </w:rPr>
              <w:t>39 (67%)</w:t>
            </w:r>
          </w:p>
        </w:tc>
        <w:tc>
          <w:tcPr>
            <w:tcW w:w="1800" w:type="dxa"/>
            <w:shd w:val="clear" w:color="auto" w:fill="EFEFEF"/>
            <w:tcMar>
              <w:top w:w="0" w:type="dxa"/>
              <w:left w:w="0" w:type="dxa"/>
              <w:bottom w:w="0" w:type="dxa"/>
              <w:right w:w="0" w:type="dxa"/>
            </w:tcMar>
            <w:vAlign w:val="center"/>
          </w:tcPr>
          <w:p w14:paraId="60386731" w14:textId="77777777" w:rsidR="001F2076" w:rsidRDefault="007F3B32">
            <w:pPr>
              <w:spacing w:before="100" w:after="100"/>
              <w:ind w:left="100" w:right="100"/>
            </w:pPr>
            <w:r>
              <w:rPr>
                <w:rFonts w:ascii="Arial" w:eastAsia="Arial" w:hAnsi="Arial" w:cs="Arial"/>
                <w:color w:val="000000"/>
                <w:sz w:val="20"/>
                <w:szCs w:val="20"/>
              </w:rPr>
              <w:t>86 (24%)</w:t>
            </w:r>
          </w:p>
        </w:tc>
        <w:tc>
          <w:tcPr>
            <w:tcW w:w="1800" w:type="dxa"/>
            <w:shd w:val="clear" w:color="auto" w:fill="EFEFEF"/>
            <w:tcMar>
              <w:top w:w="0" w:type="dxa"/>
              <w:left w:w="0" w:type="dxa"/>
              <w:bottom w:w="0" w:type="dxa"/>
              <w:right w:w="0" w:type="dxa"/>
            </w:tcMar>
            <w:vAlign w:val="center"/>
          </w:tcPr>
          <w:p w14:paraId="6EDBAFD2" w14:textId="77777777" w:rsidR="001F2076" w:rsidRDefault="007F3B32">
            <w:pPr>
              <w:spacing w:before="100" w:after="100"/>
              <w:ind w:left="100" w:right="100"/>
            </w:pPr>
            <w:r>
              <w:rPr>
                <w:rFonts w:ascii="Arial" w:eastAsia="Arial" w:hAnsi="Arial" w:cs="Arial"/>
                <w:color w:val="000000"/>
                <w:sz w:val="20"/>
                <w:szCs w:val="20"/>
              </w:rPr>
              <w:t>35 (71%)</w:t>
            </w:r>
          </w:p>
        </w:tc>
        <w:tc>
          <w:tcPr>
            <w:tcW w:w="1800" w:type="dxa"/>
            <w:shd w:val="clear" w:color="auto" w:fill="EFEFEF"/>
            <w:tcMar>
              <w:top w:w="0" w:type="dxa"/>
              <w:left w:w="0" w:type="dxa"/>
              <w:bottom w:w="0" w:type="dxa"/>
              <w:right w:w="0" w:type="dxa"/>
            </w:tcMar>
            <w:vAlign w:val="center"/>
          </w:tcPr>
          <w:p w14:paraId="7CF4F024" w14:textId="77777777" w:rsidR="001F2076" w:rsidRDefault="007F3B32">
            <w:pPr>
              <w:spacing w:before="100" w:after="100"/>
              <w:ind w:left="100" w:right="100"/>
            </w:pPr>
            <w:r>
              <w:rPr>
                <w:rFonts w:ascii="Arial" w:eastAsia="Arial" w:hAnsi="Arial" w:cs="Arial"/>
                <w:color w:val="000000"/>
                <w:sz w:val="20"/>
                <w:szCs w:val="20"/>
              </w:rPr>
              <w:t>66 (20%)</w:t>
            </w:r>
          </w:p>
        </w:tc>
        <w:tc>
          <w:tcPr>
            <w:tcW w:w="1800" w:type="dxa"/>
            <w:shd w:val="clear" w:color="auto" w:fill="EFEFEF"/>
            <w:tcMar>
              <w:top w:w="0" w:type="dxa"/>
              <w:left w:w="0" w:type="dxa"/>
              <w:bottom w:w="0" w:type="dxa"/>
              <w:right w:w="0" w:type="dxa"/>
            </w:tcMar>
            <w:vAlign w:val="center"/>
          </w:tcPr>
          <w:p w14:paraId="5BAD81CC" w14:textId="77777777" w:rsidR="001F2076" w:rsidRDefault="007F3B32">
            <w:pPr>
              <w:spacing w:before="100" w:after="100"/>
              <w:ind w:left="100" w:right="100"/>
            </w:pPr>
            <w:r>
              <w:rPr>
                <w:rFonts w:ascii="Arial" w:eastAsia="Arial" w:hAnsi="Arial" w:cs="Arial"/>
                <w:color w:val="000000"/>
                <w:sz w:val="20"/>
                <w:szCs w:val="20"/>
              </w:rPr>
              <w:t>55 (64%)</w:t>
            </w:r>
          </w:p>
        </w:tc>
      </w:tr>
      <w:tr w:rsidR="001F2076" w14:paraId="744906CD" w14:textId="77777777">
        <w:trPr>
          <w:cantSplit/>
          <w:jc w:val="center"/>
        </w:trPr>
        <w:tc>
          <w:tcPr>
            <w:tcW w:w="1800" w:type="dxa"/>
            <w:shd w:val="clear" w:color="auto" w:fill="FFFFFF"/>
            <w:tcMar>
              <w:top w:w="0" w:type="dxa"/>
              <w:left w:w="0" w:type="dxa"/>
              <w:bottom w:w="0" w:type="dxa"/>
              <w:right w:w="0" w:type="dxa"/>
            </w:tcMar>
          </w:tcPr>
          <w:p w14:paraId="418C3EB4"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3C4E5B2E" w14:textId="77777777" w:rsidR="001F2076" w:rsidRDefault="007F3B32">
            <w:pPr>
              <w:spacing w:before="100" w:after="100"/>
              <w:ind w:left="100" w:right="100"/>
            </w:pPr>
            <w:r>
              <w:rPr>
                <w:rFonts w:ascii="Arial" w:eastAsia="Arial" w:hAnsi="Arial" w:cs="Arial"/>
                <w:color w:val="000000"/>
                <w:sz w:val="20"/>
                <w:szCs w:val="20"/>
              </w:rPr>
              <w:t>240</w:t>
            </w:r>
          </w:p>
        </w:tc>
        <w:tc>
          <w:tcPr>
            <w:tcW w:w="1800" w:type="dxa"/>
            <w:shd w:val="clear" w:color="auto" w:fill="FFFFFF"/>
            <w:tcMar>
              <w:top w:w="0" w:type="dxa"/>
              <w:left w:w="0" w:type="dxa"/>
              <w:bottom w:w="0" w:type="dxa"/>
              <w:right w:w="0" w:type="dxa"/>
            </w:tcMar>
            <w:vAlign w:val="center"/>
          </w:tcPr>
          <w:p w14:paraId="250CBABF" w14:textId="77777777" w:rsidR="001F2076" w:rsidRDefault="007F3B32">
            <w:pPr>
              <w:spacing w:before="100" w:after="100"/>
              <w:ind w:left="100" w:right="100"/>
            </w:pPr>
            <w:r>
              <w:rPr>
                <w:rFonts w:ascii="Arial" w:eastAsia="Arial" w:hAnsi="Arial" w:cs="Arial"/>
                <w:color w:val="000000"/>
                <w:sz w:val="20"/>
                <w:szCs w:val="20"/>
              </w:rPr>
              <w:t>33</w:t>
            </w:r>
          </w:p>
        </w:tc>
        <w:tc>
          <w:tcPr>
            <w:tcW w:w="1800" w:type="dxa"/>
            <w:shd w:val="clear" w:color="auto" w:fill="FFFFFF"/>
            <w:tcMar>
              <w:top w:w="0" w:type="dxa"/>
              <w:left w:w="0" w:type="dxa"/>
              <w:bottom w:w="0" w:type="dxa"/>
              <w:right w:w="0" w:type="dxa"/>
            </w:tcMar>
            <w:vAlign w:val="center"/>
          </w:tcPr>
          <w:p w14:paraId="7464EC5A" w14:textId="77777777" w:rsidR="001F2076" w:rsidRDefault="007F3B32">
            <w:pPr>
              <w:spacing w:before="100" w:after="100"/>
              <w:ind w:left="100" w:right="100"/>
            </w:pPr>
            <w:r>
              <w:rPr>
                <w:rFonts w:ascii="Arial" w:eastAsia="Arial" w:hAnsi="Arial" w:cs="Arial"/>
                <w:color w:val="000000"/>
                <w:sz w:val="20"/>
                <w:szCs w:val="20"/>
              </w:rPr>
              <w:t>248</w:t>
            </w:r>
          </w:p>
        </w:tc>
        <w:tc>
          <w:tcPr>
            <w:tcW w:w="1800" w:type="dxa"/>
            <w:shd w:val="clear" w:color="auto" w:fill="FFFFFF"/>
            <w:tcMar>
              <w:top w:w="0" w:type="dxa"/>
              <w:left w:w="0" w:type="dxa"/>
              <w:bottom w:w="0" w:type="dxa"/>
              <w:right w:w="0" w:type="dxa"/>
            </w:tcMar>
            <w:vAlign w:val="center"/>
          </w:tcPr>
          <w:p w14:paraId="5ECC3706" w14:textId="77777777" w:rsidR="001F2076" w:rsidRDefault="007F3B32">
            <w:pPr>
              <w:spacing w:before="100" w:after="100"/>
              <w:ind w:left="100" w:right="100"/>
            </w:pPr>
            <w:r>
              <w:rPr>
                <w:rFonts w:ascii="Arial" w:eastAsia="Arial" w:hAnsi="Arial" w:cs="Arial"/>
                <w:color w:val="000000"/>
                <w:sz w:val="20"/>
                <w:szCs w:val="20"/>
              </w:rPr>
              <w:t>25</w:t>
            </w:r>
          </w:p>
        </w:tc>
        <w:tc>
          <w:tcPr>
            <w:tcW w:w="1800" w:type="dxa"/>
            <w:shd w:val="clear" w:color="auto" w:fill="FFFFFF"/>
            <w:tcMar>
              <w:top w:w="0" w:type="dxa"/>
              <w:left w:w="0" w:type="dxa"/>
              <w:bottom w:w="0" w:type="dxa"/>
              <w:right w:w="0" w:type="dxa"/>
            </w:tcMar>
            <w:vAlign w:val="center"/>
          </w:tcPr>
          <w:p w14:paraId="5B67C49C" w14:textId="77777777" w:rsidR="001F2076" w:rsidRDefault="007F3B32">
            <w:pPr>
              <w:spacing w:before="100" w:after="100"/>
              <w:ind w:left="100" w:right="100"/>
            </w:pPr>
            <w:r>
              <w:rPr>
                <w:rFonts w:ascii="Arial" w:eastAsia="Arial" w:hAnsi="Arial" w:cs="Arial"/>
                <w:color w:val="000000"/>
                <w:sz w:val="20"/>
                <w:szCs w:val="20"/>
              </w:rPr>
              <w:t>226</w:t>
            </w:r>
          </w:p>
        </w:tc>
        <w:tc>
          <w:tcPr>
            <w:tcW w:w="1800" w:type="dxa"/>
            <w:shd w:val="clear" w:color="auto" w:fill="FFFFFF"/>
            <w:tcMar>
              <w:top w:w="0" w:type="dxa"/>
              <w:left w:w="0" w:type="dxa"/>
              <w:bottom w:w="0" w:type="dxa"/>
              <w:right w:w="0" w:type="dxa"/>
            </w:tcMar>
            <w:vAlign w:val="center"/>
          </w:tcPr>
          <w:p w14:paraId="36EE6FEF" w14:textId="77777777" w:rsidR="001F2076" w:rsidRDefault="007F3B32">
            <w:pPr>
              <w:spacing w:before="100" w:after="100"/>
              <w:ind w:left="100" w:right="100"/>
            </w:pPr>
            <w:r>
              <w:rPr>
                <w:rFonts w:ascii="Arial" w:eastAsia="Arial" w:hAnsi="Arial" w:cs="Arial"/>
                <w:color w:val="000000"/>
                <w:sz w:val="20"/>
                <w:szCs w:val="20"/>
              </w:rPr>
              <w:t>47</w:t>
            </w:r>
          </w:p>
        </w:tc>
      </w:tr>
      <w:tr w:rsidR="001F2076" w14:paraId="08593FAD" w14:textId="77777777">
        <w:trPr>
          <w:cantSplit/>
          <w:jc w:val="center"/>
        </w:trPr>
        <w:tc>
          <w:tcPr>
            <w:tcW w:w="1800" w:type="dxa"/>
            <w:shd w:val="clear" w:color="auto" w:fill="EFEFEF"/>
            <w:tcMar>
              <w:top w:w="0" w:type="dxa"/>
              <w:left w:w="0" w:type="dxa"/>
              <w:bottom w:w="0" w:type="dxa"/>
              <w:right w:w="0" w:type="dxa"/>
            </w:tcMar>
          </w:tcPr>
          <w:p w14:paraId="3096E4A7" w14:textId="77777777" w:rsidR="001F2076" w:rsidRDefault="007F3B32">
            <w:pPr>
              <w:spacing w:before="100" w:after="100"/>
              <w:ind w:left="100" w:right="100"/>
            </w:pPr>
            <w:r>
              <w:rPr>
                <w:rFonts w:ascii="Arial" w:eastAsia="Arial" w:hAnsi="Arial" w:cs="Arial"/>
                <w:color w:val="000000"/>
                <w:sz w:val="20"/>
                <w:szCs w:val="20"/>
              </w:rPr>
              <w:t>Past noticeable contact TB within 12 months</w:t>
            </w:r>
          </w:p>
        </w:tc>
        <w:tc>
          <w:tcPr>
            <w:tcW w:w="1800" w:type="dxa"/>
            <w:shd w:val="clear" w:color="auto" w:fill="EFEFEF"/>
            <w:tcMar>
              <w:top w:w="0" w:type="dxa"/>
              <w:left w:w="0" w:type="dxa"/>
              <w:bottom w:w="0" w:type="dxa"/>
              <w:right w:w="0" w:type="dxa"/>
            </w:tcMar>
            <w:vAlign w:val="center"/>
          </w:tcPr>
          <w:p w14:paraId="27CEB003" w14:textId="77777777" w:rsidR="001F2076" w:rsidRDefault="007F3B32">
            <w:pPr>
              <w:spacing w:before="100" w:after="100"/>
              <w:ind w:left="100" w:right="100"/>
            </w:pPr>
            <w:r>
              <w:rPr>
                <w:rFonts w:ascii="Arial" w:eastAsia="Arial" w:hAnsi="Arial" w:cs="Arial"/>
                <w:color w:val="000000"/>
                <w:sz w:val="20"/>
                <w:szCs w:val="20"/>
              </w:rPr>
              <w:t>7 (1.2%)</w:t>
            </w:r>
          </w:p>
        </w:tc>
        <w:tc>
          <w:tcPr>
            <w:tcW w:w="1800" w:type="dxa"/>
            <w:shd w:val="clear" w:color="auto" w:fill="EFEFEF"/>
            <w:tcMar>
              <w:top w:w="0" w:type="dxa"/>
              <w:left w:w="0" w:type="dxa"/>
              <w:bottom w:w="0" w:type="dxa"/>
              <w:right w:w="0" w:type="dxa"/>
            </w:tcMar>
            <w:vAlign w:val="center"/>
          </w:tcPr>
          <w:p w14:paraId="3F4338A9" w14:textId="77777777" w:rsidR="001F2076" w:rsidRDefault="007F3B32">
            <w:pPr>
              <w:spacing w:before="100" w:after="100"/>
              <w:ind w:left="100" w:right="100"/>
            </w:pPr>
            <w:r>
              <w:rPr>
                <w:rFonts w:ascii="Arial" w:eastAsia="Arial" w:hAnsi="Arial" w:cs="Arial"/>
                <w:color w:val="000000"/>
                <w:sz w:val="20"/>
                <w:szCs w:val="20"/>
              </w:rPr>
              <w:t>3 (3.3%)</w:t>
            </w:r>
          </w:p>
        </w:tc>
        <w:tc>
          <w:tcPr>
            <w:tcW w:w="1800" w:type="dxa"/>
            <w:shd w:val="clear" w:color="auto" w:fill="EFEFEF"/>
            <w:tcMar>
              <w:top w:w="0" w:type="dxa"/>
              <w:left w:w="0" w:type="dxa"/>
              <w:bottom w:w="0" w:type="dxa"/>
              <w:right w:w="0" w:type="dxa"/>
            </w:tcMar>
            <w:vAlign w:val="center"/>
          </w:tcPr>
          <w:p w14:paraId="10E16F82" w14:textId="77777777" w:rsidR="001F2076" w:rsidRDefault="007F3B32">
            <w:pPr>
              <w:spacing w:before="100" w:after="100"/>
              <w:ind w:left="100" w:right="100"/>
            </w:pPr>
            <w:r>
              <w:rPr>
                <w:rFonts w:ascii="Arial" w:eastAsia="Arial" w:hAnsi="Arial" w:cs="Arial"/>
                <w:color w:val="000000"/>
                <w:sz w:val="20"/>
                <w:szCs w:val="20"/>
              </w:rPr>
              <w:t>6 (1.0%)</w:t>
            </w:r>
          </w:p>
        </w:tc>
        <w:tc>
          <w:tcPr>
            <w:tcW w:w="1800" w:type="dxa"/>
            <w:shd w:val="clear" w:color="auto" w:fill="EFEFEF"/>
            <w:tcMar>
              <w:top w:w="0" w:type="dxa"/>
              <w:left w:w="0" w:type="dxa"/>
              <w:bottom w:w="0" w:type="dxa"/>
              <w:right w:w="0" w:type="dxa"/>
            </w:tcMar>
            <w:vAlign w:val="center"/>
          </w:tcPr>
          <w:p w14:paraId="337F85F9" w14:textId="77777777" w:rsidR="001F2076" w:rsidRDefault="007F3B32">
            <w:pPr>
              <w:spacing w:before="100" w:after="100"/>
              <w:ind w:left="100" w:right="100"/>
            </w:pPr>
            <w:r>
              <w:rPr>
                <w:rFonts w:ascii="Arial" w:eastAsia="Arial" w:hAnsi="Arial" w:cs="Arial"/>
                <w:color w:val="000000"/>
                <w:sz w:val="20"/>
                <w:szCs w:val="20"/>
              </w:rPr>
              <w:t>4 (5.4%)</w:t>
            </w:r>
          </w:p>
        </w:tc>
        <w:tc>
          <w:tcPr>
            <w:tcW w:w="1800" w:type="dxa"/>
            <w:shd w:val="clear" w:color="auto" w:fill="EFEFEF"/>
            <w:tcMar>
              <w:top w:w="0" w:type="dxa"/>
              <w:left w:w="0" w:type="dxa"/>
              <w:bottom w:w="0" w:type="dxa"/>
              <w:right w:w="0" w:type="dxa"/>
            </w:tcMar>
            <w:vAlign w:val="center"/>
          </w:tcPr>
          <w:p w14:paraId="3E4380B1" w14:textId="77777777" w:rsidR="001F2076" w:rsidRDefault="007F3B32">
            <w:pPr>
              <w:spacing w:before="100" w:after="100"/>
              <w:ind w:left="100" w:right="100"/>
            </w:pPr>
            <w:r>
              <w:rPr>
                <w:rFonts w:ascii="Arial" w:eastAsia="Arial" w:hAnsi="Arial" w:cs="Arial"/>
                <w:color w:val="000000"/>
                <w:sz w:val="20"/>
                <w:szCs w:val="20"/>
              </w:rPr>
              <w:t>4 (0.7%)</w:t>
            </w:r>
          </w:p>
        </w:tc>
        <w:tc>
          <w:tcPr>
            <w:tcW w:w="1800" w:type="dxa"/>
            <w:shd w:val="clear" w:color="auto" w:fill="EFEFEF"/>
            <w:tcMar>
              <w:top w:w="0" w:type="dxa"/>
              <w:left w:w="0" w:type="dxa"/>
              <w:bottom w:w="0" w:type="dxa"/>
              <w:right w:w="0" w:type="dxa"/>
            </w:tcMar>
            <w:vAlign w:val="center"/>
          </w:tcPr>
          <w:p w14:paraId="3EACDAF8" w14:textId="77777777" w:rsidR="001F2076" w:rsidRDefault="007F3B32">
            <w:pPr>
              <w:spacing w:before="100" w:after="100"/>
              <w:ind w:left="100" w:right="100"/>
            </w:pPr>
            <w:r>
              <w:rPr>
                <w:rFonts w:ascii="Arial" w:eastAsia="Arial" w:hAnsi="Arial" w:cs="Arial"/>
                <w:color w:val="000000"/>
                <w:sz w:val="20"/>
                <w:szCs w:val="20"/>
              </w:rPr>
              <w:t>6 (4.5%)</w:t>
            </w:r>
          </w:p>
        </w:tc>
      </w:tr>
      <w:tr w:rsidR="001F2076" w14:paraId="03EB099B" w14:textId="77777777">
        <w:trPr>
          <w:cantSplit/>
          <w:jc w:val="center"/>
        </w:trPr>
        <w:tc>
          <w:tcPr>
            <w:tcW w:w="1800" w:type="dxa"/>
            <w:shd w:val="clear" w:color="auto" w:fill="FFFFFF"/>
            <w:tcMar>
              <w:top w:w="0" w:type="dxa"/>
              <w:left w:w="0" w:type="dxa"/>
              <w:bottom w:w="0" w:type="dxa"/>
              <w:right w:w="0" w:type="dxa"/>
            </w:tcMar>
          </w:tcPr>
          <w:p w14:paraId="62EC92AF" w14:textId="77777777" w:rsidR="001F2076" w:rsidRDefault="007F3B32">
            <w:pPr>
              <w:spacing w:before="100" w:after="100"/>
              <w:ind w:left="100" w:right="100"/>
            </w:pPr>
            <w:r>
              <w:rPr>
                <w:rFonts w:ascii="Arial" w:eastAsia="Arial" w:hAnsi="Arial" w:cs="Arial"/>
                <w:color w:val="000000"/>
                <w:sz w:val="20"/>
                <w:szCs w:val="20"/>
              </w:rPr>
              <w:t>Focal neurological deficit</w:t>
            </w:r>
          </w:p>
        </w:tc>
        <w:tc>
          <w:tcPr>
            <w:tcW w:w="1800" w:type="dxa"/>
            <w:shd w:val="clear" w:color="auto" w:fill="FFFFFF"/>
            <w:tcMar>
              <w:top w:w="0" w:type="dxa"/>
              <w:left w:w="0" w:type="dxa"/>
              <w:bottom w:w="0" w:type="dxa"/>
              <w:right w:w="0" w:type="dxa"/>
            </w:tcMar>
            <w:vAlign w:val="center"/>
          </w:tcPr>
          <w:p w14:paraId="28C41E50" w14:textId="77777777" w:rsidR="001F2076" w:rsidRDefault="007F3B32">
            <w:pPr>
              <w:spacing w:before="100" w:after="100"/>
              <w:ind w:left="100" w:right="100"/>
            </w:pPr>
            <w:r>
              <w:rPr>
                <w:rFonts w:ascii="Arial" w:eastAsia="Arial" w:hAnsi="Arial" w:cs="Arial"/>
                <w:color w:val="000000"/>
                <w:sz w:val="20"/>
                <w:szCs w:val="20"/>
              </w:rPr>
              <w:t>64 (11%)</w:t>
            </w:r>
          </w:p>
        </w:tc>
        <w:tc>
          <w:tcPr>
            <w:tcW w:w="1800" w:type="dxa"/>
            <w:shd w:val="clear" w:color="auto" w:fill="FFFFFF"/>
            <w:tcMar>
              <w:top w:w="0" w:type="dxa"/>
              <w:left w:w="0" w:type="dxa"/>
              <w:bottom w:w="0" w:type="dxa"/>
              <w:right w:w="0" w:type="dxa"/>
            </w:tcMar>
            <w:vAlign w:val="center"/>
          </w:tcPr>
          <w:p w14:paraId="06CBBBA2" w14:textId="77777777" w:rsidR="001F2076" w:rsidRDefault="007F3B32">
            <w:pPr>
              <w:spacing w:before="100" w:after="100"/>
              <w:ind w:left="100" w:right="100"/>
            </w:pPr>
            <w:r>
              <w:rPr>
                <w:rFonts w:ascii="Arial" w:eastAsia="Arial" w:hAnsi="Arial" w:cs="Arial"/>
                <w:color w:val="000000"/>
                <w:sz w:val="20"/>
                <w:szCs w:val="20"/>
              </w:rPr>
              <w:t>20 (22%)</w:t>
            </w:r>
          </w:p>
        </w:tc>
        <w:tc>
          <w:tcPr>
            <w:tcW w:w="1800" w:type="dxa"/>
            <w:shd w:val="clear" w:color="auto" w:fill="FFFFFF"/>
            <w:tcMar>
              <w:top w:w="0" w:type="dxa"/>
              <w:left w:w="0" w:type="dxa"/>
              <w:bottom w:w="0" w:type="dxa"/>
              <w:right w:w="0" w:type="dxa"/>
            </w:tcMar>
            <w:vAlign w:val="center"/>
          </w:tcPr>
          <w:p w14:paraId="50E9DDCA" w14:textId="77777777" w:rsidR="001F2076" w:rsidRDefault="007F3B32">
            <w:pPr>
              <w:spacing w:before="100" w:after="100"/>
              <w:ind w:left="100" w:right="100"/>
            </w:pPr>
            <w:r>
              <w:rPr>
                <w:rFonts w:ascii="Arial" w:eastAsia="Arial" w:hAnsi="Arial" w:cs="Arial"/>
                <w:color w:val="000000"/>
                <w:sz w:val="20"/>
                <w:szCs w:val="20"/>
              </w:rPr>
              <w:t>67 (11%)</w:t>
            </w:r>
          </w:p>
        </w:tc>
        <w:tc>
          <w:tcPr>
            <w:tcW w:w="1800" w:type="dxa"/>
            <w:shd w:val="clear" w:color="auto" w:fill="FFFFFF"/>
            <w:tcMar>
              <w:top w:w="0" w:type="dxa"/>
              <w:left w:w="0" w:type="dxa"/>
              <w:bottom w:w="0" w:type="dxa"/>
              <w:right w:w="0" w:type="dxa"/>
            </w:tcMar>
            <w:vAlign w:val="center"/>
          </w:tcPr>
          <w:p w14:paraId="36EE611B" w14:textId="77777777" w:rsidR="001F2076" w:rsidRDefault="007F3B32">
            <w:pPr>
              <w:spacing w:before="100" w:after="100"/>
              <w:ind w:left="100" w:right="100"/>
            </w:pPr>
            <w:r>
              <w:rPr>
                <w:rFonts w:ascii="Arial" w:eastAsia="Arial" w:hAnsi="Arial" w:cs="Arial"/>
                <w:color w:val="000000"/>
                <w:sz w:val="20"/>
                <w:szCs w:val="20"/>
              </w:rPr>
              <w:t>17 (23%)</w:t>
            </w:r>
          </w:p>
        </w:tc>
        <w:tc>
          <w:tcPr>
            <w:tcW w:w="1800" w:type="dxa"/>
            <w:shd w:val="clear" w:color="auto" w:fill="FFFFFF"/>
            <w:tcMar>
              <w:top w:w="0" w:type="dxa"/>
              <w:left w:w="0" w:type="dxa"/>
              <w:bottom w:w="0" w:type="dxa"/>
              <w:right w:w="0" w:type="dxa"/>
            </w:tcMar>
            <w:vAlign w:val="center"/>
          </w:tcPr>
          <w:p w14:paraId="721010A9" w14:textId="77777777" w:rsidR="001F2076" w:rsidRDefault="007F3B32">
            <w:pPr>
              <w:spacing w:before="100" w:after="100"/>
              <w:ind w:left="100" w:right="100"/>
            </w:pPr>
            <w:r>
              <w:rPr>
                <w:rFonts w:ascii="Arial" w:eastAsia="Arial" w:hAnsi="Arial" w:cs="Arial"/>
                <w:color w:val="000000"/>
                <w:sz w:val="20"/>
                <w:szCs w:val="20"/>
              </w:rPr>
              <w:t>59 (11%)</w:t>
            </w:r>
          </w:p>
        </w:tc>
        <w:tc>
          <w:tcPr>
            <w:tcW w:w="1800" w:type="dxa"/>
            <w:shd w:val="clear" w:color="auto" w:fill="FFFFFF"/>
            <w:tcMar>
              <w:top w:w="0" w:type="dxa"/>
              <w:left w:w="0" w:type="dxa"/>
              <w:bottom w:w="0" w:type="dxa"/>
              <w:right w:w="0" w:type="dxa"/>
            </w:tcMar>
            <w:vAlign w:val="center"/>
          </w:tcPr>
          <w:p w14:paraId="6D5C2B03" w14:textId="77777777" w:rsidR="001F2076" w:rsidRDefault="007F3B32">
            <w:pPr>
              <w:spacing w:before="100" w:after="100"/>
              <w:ind w:left="100" w:right="100"/>
            </w:pPr>
            <w:r>
              <w:rPr>
                <w:rFonts w:ascii="Arial" w:eastAsia="Arial" w:hAnsi="Arial" w:cs="Arial"/>
                <w:color w:val="000000"/>
                <w:sz w:val="20"/>
                <w:szCs w:val="20"/>
              </w:rPr>
              <w:t>25 (19%)</w:t>
            </w:r>
          </w:p>
        </w:tc>
      </w:tr>
      <w:tr w:rsidR="001F2076" w14:paraId="7F279FC7" w14:textId="77777777">
        <w:trPr>
          <w:cantSplit/>
          <w:jc w:val="center"/>
        </w:trPr>
        <w:tc>
          <w:tcPr>
            <w:tcW w:w="1800" w:type="dxa"/>
            <w:shd w:val="clear" w:color="auto" w:fill="EFEFEF"/>
            <w:tcMar>
              <w:top w:w="0" w:type="dxa"/>
              <w:left w:w="0" w:type="dxa"/>
              <w:bottom w:w="0" w:type="dxa"/>
              <w:right w:w="0" w:type="dxa"/>
            </w:tcMar>
          </w:tcPr>
          <w:p w14:paraId="6ADC27FE"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1AF72D51" w14:textId="77777777" w:rsidR="001F2076" w:rsidRDefault="007F3B32">
            <w:pPr>
              <w:spacing w:before="100" w:after="100"/>
              <w:ind w:left="100" w:right="100"/>
            </w:pPr>
            <w:r>
              <w:rPr>
                <w:rFonts w:ascii="Arial" w:eastAsia="Arial" w:hAnsi="Arial" w:cs="Arial"/>
                <w:color w:val="000000"/>
                <w:sz w:val="20"/>
                <w:szCs w:val="20"/>
              </w:rPr>
              <w:t>15</w:t>
            </w:r>
          </w:p>
        </w:tc>
        <w:tc>
          <w:tcPr>
            <w:tcW w:w="1800" w:type="dxa"/>
            <w:shd w:val="clear" w:color="auto" w:fill="EFEFEF"/>
            <w:tcMar>
              <w:top w:w="0" w:type="dxa"/>
              <w:left w:w="0" w:type="dxa"/>
              <w:bottom w:w="0" w:type="dxa"/>
              <w:right w:w="0" w:type="dxa"/>
            </w:tcMar>
            <w:vAlign w:val="center"/>
          </w:tcPr>
          <w:p w14:paraId="17924196" w14:textId="77777777"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EFEFEF"/>
            <w:tcMar>
              <w:top w:w="0" w:type="dxa"/>
              <w:left w:w="0" w:type="dxa"/>
              <w:bottom w:w="0" w:type="dxa"/>
              <w:right w:w="0" w:type="dxa"/>
            </w:tcMar>
            <w:vAlign w:val="center"/>
          </w:tcPr>
          <w:p w14:paraId="60EAE411" w14:textId="77777777" w:rsidR="001F2076" w:rsidRDefault="007F3B32">
            <w:pPr>
              <w:spacing w:before="100" w:after="100"/>
              <w:ind w:left="100" w:right="100"/>
            </w:pPr>
            <w:r>
              <w:rPr>
                <w:rFonts w:ascii="Arial" w:eastAsia="Arial" w:hAnsi="Arial" w:cs="Arial"/>
                <w:color w:val="000000"/>
                <w:sz w:val="20"/>
                <w:szCs w:val="20"/>
              </w:rPr>
              <w:t>16</w:t>
            </w:r>
          </w:p>
        </w:tc>
        <w:tc>
          <w:tcPr>
            <w:tcW w:w="1800" w:type="dxa"/>
            <w:shd w:val="clear" w:color="auto" w:fill="EFEFEF"/>
            <w:tcMar>
              <w:top w:w="0" w:type="dxa"/>
              <w:left w:w="0" w:type="dxa"/>
              <w:bottom w:w="0" w:type="dxa"/>
              <w:right w:w="0" w:type="dxa"/>
            </w:tcMar>
            <w:vAlign w:val="center"/>
          </w:tcPr>
          <w:p w14:paraId="2E3C5271"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5B3392F7" w14:textId="77777777" w:rsidR="001F2076" w:rsidRDefault="007F3B32">
            <w:pPr>
              <w:spacing w:before="100" w:after="100"/>
              <w:ind w:left="100" w:right="100"/>
            </w:pPr>
            <w:r>
              <w:rPr>
                <w:rFonts w:ascii="Arial" w:eastAsia="Arial" w:hAnsi="Arial" w:cs="Arial"/>
                <w:color w:val="000000"/>
                <w:sz w:val="20"/>
                <w:szCs w:val="20"/>
              </w:rPr>
              <w:t>13</w:t>
            </w:r>
          </w:p>
        </w:tc>
        <w:tc>
          <w:tcPr>
            <w:tcW w:w="1800" w:type="dxa"/>
            <w:shd w:val="clear" w:color="auto" w:fill="EFEFEF"/>
            <w:tcMar>
              <w:top w:w="0" w:type="dxa"/>
              <w:left w:w="0" w:type="dxa"/>
              <w:bottom w:w="0" w:type="dxa"/>
              <w:right w:w="0" w:type="dxa"/>
            </w:tcMar>
            <w:vAlign w:val="center"/>
          </w:tcPr>
          <w:p w14:paraId="6499E65E" w14:textId="77777777" w:rsidR="001F2076" w:rsidRDefault="007F3B32">
            <w:pPr>
              <w:spacing w:before="100" w:after="100"/>
              <w:ind w:left="100" w:right="100"/>
            </w:pPr>
            <w:r>
              <w:rPr>
                <w:rFonts w:ascii="Arial" w:eastAsia="Arial" w:hAnsi="Arial" w:cs="Arial"/>
                <w:color w:val="000000"/>
                <w:sz w:val="20"/>
                <w:szCs w:val="20"/>
              </w:rPr>
              <w:t>4</w:t>
            </w:r>
          </w:p>
        </w:tc>
      </w:tr>
      <w:tr w:rsidR="001F2076" w14:paraId="0EE10F84" w14:textId="77777777">
        <w:trPr>
          <w:cantSplit/>
          <w:jc w:val="center"/>
        </w:trPr>
        <w:tc>
          <w:tcPr>
            <w:tcW w:w="1800" w:type="dxa"/>
            <w:shd w:val="clear" w:color="auto" w:fill="FFFFFF"/>
            <w:tcMar>
              <w:top w:w="0" w:type="dxa"/>
              <w:left w:w="0" w:type="dxa"/>
              <w:bottom w:w="0" w:type="dxa"/>
              <w:right w:w="0" w:type="dxa"/>
            </w:tcMar>
          </w:tcPr>
          <w:p w14:paraId="2E298A42" w14:textId="77777777" w:rsidR="001F2076" w:rsidRDefault="007F3B32">
            <w:pPr>
              <w:spacing w:before="100" w:after="100"/>
              <w:ind w:left="100" w:right="100"/>
            </w:pPr>
            <w:r>
              <w:rPr>
                <w:rFonts w:ascii="Arial" w:eastAsia="Arial" w:hAnsi="Arial" w:cs="Arial"/>
                <w:color w:val="000000"/>
                <w:sz w:val="20"/>
                <w:szCs w:val="20"/>
              </w:rPr>
              <w:lastRenderedPageBreak/>
              <w:t>Crain nerve palsy</w:t>
            </w:r>
          </w:p>
        </w:tc>
        <w:tc>
          <w:tcPr>
            <w:tcW w:w="1800" w:type="dxa"/>
            <w:shd w:val="clear" w:color="auto" w:fill="FFFFFF"/>
            <w:tcMar>
              <w:top w:w="0" w:type="dxa"/>
              <w:left w:w="0" w:type="dxa"/>
              <w:bottom w:w="0" w:type="dxa"/>
              <w:right w:w="0" w:type="dxa"/>
            </w:tcMar>
            <w:vAlign w:val="center"/>
          </w:tcPr>
          <w:p w14:paraId="0AA9CE49" w14:textId="77777777" w:rsidR="001F2076" w:rsidRDefault="007F3B32">
            <w:pPr>
              <w:spacing w:before="100" w:after="100"/>
              <w:ind w:left="100" w:right="100"/>
            </w:pPr>
            <w:r>
              <w:rPr>
                <w:rFonts w:ascii="Arial" w:eastAsia="Arial" w:hAnsi="Arial" w:cs="Arial"/>
                <w:color w:val="000000"/>
                <w:sz w:val="20"/>
                <w:szCs w:val="20"/>
              </w:rPr>
              <w:t>61 (10%)</w:t>
            </w:r>
          </w:p>
        </w:tc>
        <w:tc>
          <w:tcPr>
            <w:tcW w:w="1800" w:type="dxa"/>
            <w:shd w:val="clear" w:color="auto" w:fill="FFFFFF"/>
            <w:tcMar>
              <w:top w:w="0" w:type="dxa"/>
              <w:left w:w="0" w:type="dxa"/>
              <w:bottom w:w="0" w:type="dxa"/>
              <w:right w:w="0" w:type="dxa"/>
            </w:tcMar>
            <w:vAlign w:val="center"/>
          </w:tcPr>
          <w:p w14:paraId="2F5B84DC" w14:textId="77777777" w:rsidR="001F2076" w:rsidRDefault="007F3B32">
            <w:pPr>
              <w:spacing w:before="100" w:after="100"/>
              <w:ind w:left="100" w:right="100"/>
            </w:pPr>
            <w:r>
              <w:rPr>
                <w:rFonts w:ascii="Arial" w:eastAsia="Arial" w:hAnsi="Arial" w:cs="Arial"/>
                <w:color w:val="000000"/>
                <w:sz w:val="20"/>
                <w:szCs w:val="20"/>
              </w:rPr>
              <w:t>26 (29%)</w:t>
            </w:r>
          </w:p>
        </w:tc>
        <w:tc>
          <w:tcPr>
            <w:tcW w:w="1800" w:type="dxa"/>
            <w:shd w:val="clear" w:color="auto" w:fill="FFFFFF"/>
            <w:tcMar>
              <w:top w:w="0" w:type="dxa"/>
              <w:left w:w="0" w:type="dxa"/>
              <w:bottom w:w="0" w:type="dxa"/>
              <w:right w:w="0" w:type="dxa"/>
            </w:tcMar>
            <w:vAlign w:val="center"/>
          </w:tcPr>
          <w:p w14:paraId="6504CA8E" w14:textId="77777777" w:rsidR="001F2076" w:rsidRDefault="007F3B32">
            <w:pPr>
              <w:spacing w:before="100" w:after="100"/>
              <w:ind w:left="100" w:right="100"/>
            </w:pPr>
            <w:r>
              <w:rPr>
                <w:rFonts w:ascii="Arial" w:eastAsia="Arial" w:hAnsi="Arial" w:cs="Arial"/>
                <w:color w:val="000000"/>
                <w:sz w:val="20"/>
                <w:szCs w:val="20"/>
              </w:rPr>
              <w:t>64 (10%)</w:t>
            </w:r>
          </w:p>
        </w:tc>
        <w:tc>
          <w:tcPr>
            <w:tcW w:w="1800" w:type="dxa"/>
            <w:shd w:val="clear" w:color="auto" w:fill="FFFFFF"/>
            <w:tcMar>
              <w:top w:w="0" w:type="dxa"/>
              <w:left w:w="0" w:type="dxa"/>
              <w:bottom w:w="0" w:type="dxa"/>
              <w:right w:w="0" w:type="dxa"/>
            </w:tcMar>
            <w:vAlign w:val="center"/>
          </w:tcPr>
          <w:p w14:paraId="03DB933D" w14:textId="77777777" w:rsidR="001F2076" w:rsidRDefault="007F3B32">
            <w:pPr>
              <w:spacing w:before="100" w:after="100"/>
              <w:ind w:left="100" w:right="100"/>
            </w:pPr>
            <w:r>
              <w:rPr>
                <w:rFonts w:ascii="Arial" w:eastAsia="Arial" w:hAnsi="Arial" w:cs="Arial"/>
                <w:color w:val="000000"/>
                <w:sz w:val="20"/>
                <w:szCs w:val="20"/>
              </w:rPr>
              <w:t>23 (31%)</w:t>
            </w:r>
          </w:p>
        </w:tc>
        <w:tc>
          <w:tcPr>
            <w:tcW w:w="1800" w:type="dxa"/>
            <w:shd w:val="clear" w:color="auto" w:fill="FFFFFF"/>
            <w:tcMar>
              <w:top w:w="0" w:type="dxa"/>
              <w:left w:w="0" w:type="dxa"/>
              <w:bottom w:w="0" w:type="dxa"/>
              <w:right w:w="0" w:type="dxa"/>
            </w:tcMar>
            <w:vAlign w:val="center"/>
          </w:tcPr>
          <w:p w14:paraId="19AC42FC" w14:textId="77777777" w:rsidR="001F2076" w:rsidRDefault="007F3B32">
            <w:pPr>
              <w:spacing w:before="100" w:after="100"/>
              <w:ind w:left="100" w:right="100"/>
            </w:pPr>
            <w:r>
              <w:rPr>
                <w:rFonts w:ascii="Arial" w:eastAsia="Arial" w:hAnsi="Arial" w:cs="Arial"/>
                <w:color w:val="000000"/>
                <w:sz w:val="20"/>
                <w:szCs w:val="20"/>
              </w:rPr>
              <w:t>58 (10%)</w:t>
            </w:r>
          </w:p>
        </w:tc>
        <w:tc>
          <w:tcPr>
            <w:tcW w:w="1800" w:type="dxa"/>
            <w:shd w:val="clear" w:color="auto" w:fill="FFFFFF"/>
            <w:tcMar>
              <w:top w:w="0" w:type="dxa"/>
              <w:left w:w="0" w:type="dxa"/>
              <w:bottom w:w="0" w:type="dxa"/>
              <w:right w:w="0" w:type="dxa"/>
            </w:tcMar>
            <w:vAlign w:val="center"/>
          </w:tcPr>
          <w:p w14:paraId="00927D64" w14:textId="77777777" w:rsidR="001F2076" w:rsidRDefault="007F3B32">
            <w:pPr>
              <w:spacing w:before="100" w:after="100"/>
              <w:ind w:left="100" w:right="100"/>
            </w:pPr>
            <w:r>
              <w:rPr>
                <w:rFonts w:ascii="Arial" w:eastAsia="Arial" w:hAnsi="Arial" w:cs="Arial"/>
                <w:color w:val="000000"/>
                <w:sz w:val="20"/>
                <w:szCs w:val="20"/>
              </w:rPr>
              <w:t>29 (22%)</w:t>
            </w:r>
          </w:p>
        </w:tc>
      </w:tr>
      <w:tr w:rsidR="001F2076" w14:paraId="34B27B1E" w14:textId="77777777">
        <w:trPr>
          <w:cantSplit/>
          <w:jc w:val="center"/>
        </w:trPr>
        <w:tc>
          <w:tcPr>
            <w:tcW w:w="1800" w:type="dxa"/>
            <w:shd w:val="clear" w:color="auto" w:fill="EFEFEF"/>
            <w:tcMar>
              <w:top w:w="0" w:type="dxa"/>
              <w:left w:w="0" w:type="dxa"/>
              <w:bottom w:w="0" w:type="dxa"/>
              <w:right w:w="0" w:type="dxa"/>
            </w:tcMar>
          </w:tcPr>
          <w:p w14:paraId="6B1CF88B" w14:textId="77777777" w:rsidR="001F2076" w:rsidRDefault="007F3B32">
            <w:pPr>
              <w:spacing w:before="100" w:after="100"/>
              <w:ind w:left="100" w:right="100"/>
            </w:pPr>
            <w:r>
              <w:rPr>
                <w:rFonts w:ascii="Arial" w:eastAsia="Arial" w:hAnsi="Arial" w:cs="Arial"/>
                <w:color w:val="000000"/>
                <w:sz w:val="20"/>
                <w:szCs w:val="20"/>
              </w:rPr>
              <w:t>Glasgow Coma Score</w:t>
            </w:r>
          </w:p>
        </w:tc>
        <w:tc>
          <w:tcPr>
            <w:tcW w:w="1800" w:type="dxa"/>
            <w:shd w:val="clear" w:color="auto" w:fill="EFEFEF"/>
            <w:tcMar>
              <w:top w:w="0" w:type="dxa"/>
              <w:left w:w="0" w:type="dxa"/>
              <w:bottom w:w="0" w:type="dxa"/>
              <w:right w:w="0" w:type="dxa"/>
            </w:tcMar>
            <w:vAlign w:val="center"/>
          </w:tcPr>
          <w:p w14:paraId="5177DDAD" w14:textId="77777777" w:rsidR="001F2076" w:rsidRDefault="007F3B32">
            <w:pPr>
              <w:spacing w:before="100" w:after="100"/>
              <w:ind w:left="100" w:right="100"/>
            </w:pPr>
            <w:r>
              <w:rPr>
                <w:rFonts w:ascii="Arial" w:eastAsia="Arial" w:hAnsi="Arial" w:cs="Arial"/>
                <w:color w:val="000000"/>
                <w:sz w:val="20"/>
                <w:szCs w:val="20"/>
              </w:rPr>
              <w:t>12 (10, 14)</w:t>
            </w:r>
          </w:p>
        </w:tc>
        <w:tc>
          <w:tcPr>
            <w:tcW w:w="1800" w:type="dxa"/>
            <w:shd w:val="clear" w:color="auto" w:fill="EFEFEF"/>
            <w:tcMar>
              <w:top w:w="0" w:type="dxa"/>
              <w:left w:w="0" w:type="dxa"/>
              <w:bottom w:w="0" w:type="dxa"/>
              <w:right w:w="0" w:type="dxa"/>
            </w:tcMar>
            <w:vAlign w:val="center"/>
          </w:tcPr>
          <w:p w14:paraId="7E800ABD" w14:textId="77777777" w:rsidR="001F2076" w:rsidRDefault="007F3B32">
            <w:pPr>
              <w:spacing w:before="100" w:after="100"/>
              <w:ind w:left="100" w:right="100"/>
            </w:pPr>
            <w:r>
              <w:rPr>
                <w:rFonts w:ascii="Arial" w:eastAsia="Arial" w:hAnsi="Arial" w:cs="Arial"/>
                <w:color w:val="000000"/>
                <w:sz w:val="20"/>
                <w:szCs w:val="20"/>
              </w:rPr>
              <w:t>11 (10, 14)</w:t>
            </w:r>
          </w:p>
        </w:tc>
        <w:tc>
          <w:tcPr>
            <w:tcW w:w="1800" w:type="dxa"/>
            <w:shd w:val="clear" w:color="auto" w:fill="EFEFEF"/>
            <w:tcMar>
              <w:top w:w="0" w:type="dxa"/>
              <w:left w:w="0" w:type="dxa"/>
              <w:bottom w:w="0" w:type="dxa"/>
              <w:right w:w="0" w:type="dxa"/>
            </w:tcMar>
            <w:vAlign w:val="center"/>
          </w:tcPr>
          <w:p w14:paraId="1128ED26" w14:textId="77777777" w:rsidR="001F2076" w:rsidRDefault="007F3B32">
            <w:pPr>
              <w:spacing w:before="100" w:after="100"/>
              <w:ind w:left="100" w:right="100"/>
            </w:pPr>
            <w:r>
              <w:rPr>
                <w:rFonts w:ascii="Arial" w:eastAsia="Arial" w:hAnsi="Arial" w:cs="Arial"/>
                <w:color w:val="000000"/>
                <w:sz w:val="20"/>
                <w:szCs w:val="20"/>
              </w:rPr>
              <w:t>12 (10, 14)</w:t>
            </w:r>
          </w:p>
        </w:tc>
        <w:tc>
          <w:tcPr>
            <w:tcW w:w="1800" w:type="dxa"/>
            <w:shd w:val="clear" w:color="auto" w:fill="EFEFEF"/>
            <w:tcMar>
              <w:top w:w="0" w:type="dxa"/>
              <w:left w:w="0" w:type="dxa"/>
              <w:bottom w:w="0" w:type="dxa"/>
              <w:right w:w="0" w:type="dxa"/>
            </w:tcMar>
            <w:vAlign w:val="center"/>
          </w:tcPr>
          <w:p w14:paraId="6A1E8146" w14:textId="77777777" w:rsidR="001F2076" w:rsidRDefault="007F3B32">
            <w:pPr>
              <w:spacing w:before="100" w:after="100"/>
              <w:ind w:left="100" w:right="100"/>
            </w:pPr>
            <w:r>
              <w:rPr>
                <w:rFonts w:ascii="Arial" w:eastAsia="Arial" w:hAnsi="Arial" w:cs="Arial"/>
                <w:color w:val="000000"/>
                <w:sz w:val="20"/>
                <w:szCs w:val="20"/>
              </w:rPr>
              <w:t>11 (9, 14)</w:t>
            </w:r>
          </w:p>
        </w:tc>
        <w:tc>
          <w:tcPr>
            <w:tcW w:w="1800" w:type="dxa"/>
            <w:shd w:val="clear" w:color="auto" w:fill="EFEFEF"/>
            <w:tcMar>
              <w:top w:w="0" w:type="dxa"/>
              <w:left w:w="0" w:type="dxa"/>
              <w:bottom w:w="0" w:type="dxa"/>
              <w:right w:w="0" w:type="dxa"/>
            </w:tcMar>
            <w:vAlign w:val="center"/>
          </w:tcPr>
          <w:p w14:paraId="2F525CA8" w14:textId="77777777" w:rsidR="001F2076" w:rsidRDefault="007F3B32">
            <w:pPr>
              <w:spacing w:before="100" w:after="100"/>
              <w:ind w:left="100" w:right="100"/>
            </w:pPr>
            <w:r>
              <w:rPr>
                <w:rFonts w:ascii="Arial" w:eastAsia="Arial" w:hAnsi="Arial" w:cs="Arial"/>
                <w:color w:val="000000"/>
                <w:sz w:val="20"/>
                <w:szCs w:val="20"/>
              </w:rPr>
              <w:t>12 (10, 14)</w:t>
            </w:r>
          </w:p>
        </w:tc>
        <w:tc>
          <w:tcPr>
            <w:tcW w:w="1800" w:type="dxa"/>
            <w:shd w:val="clear" w:color="auto" w:fill="EFEFEF"/>
            <w:tcMar>
              <w:top w:w="0" w:type="dxa"/>
              <w:left w:w="0" w:type="dxa"/>
              <w:bottom w:w="0" w:type="dxa"/>
              <w:right w:w="0" w:type="dxa"/>
            </w:tcMar>
            <w:vAlign w:val="center"/>
          </w:tcPr>
          <w:p w14:paraId="05B96709" w14:textId="77777777" w:rsidR="001F2076" w:rsidRDefault="007F3B32">
            <w:pPr>
              <w:spacing w:before="100" w:after="100"/>
              <w:ind w:left="100" w:right="100"/>
            </w:pPr>
            <w:r>
              <w:rPr>
                <w:rFonts w:ascii="Arial" w:eastAsia="Arial" w:hAnsi="Arial" w:cs="Arial"/>
                <w:color w:val="000000"/>
                <w:sz w:val="20"/>
                <w:szCs w:val="20"/>
              </w:rPr>
              <w:t>12 (10, 15)</w:t>
            </w:r>
          </w:p>
        </w:tc>
      </w:tr>
      <w:tr w:rsidR="001F2076" w14:paraId="38AD77D1" w14:textId="77777777">
        <w:trPr>
          <w:cantSplit/>
          <w:jc w:val="center"/>
        </w:trPr>
        <w:tc>
          <w:tcPr>
            <w:tcW w:w="1800" w:type="dxa"/>
            <w:shd w:val="clear" w:color="auto" w:fill="FFFFFF"/>
            <w:tcMar>
              <w:top w:w="0" w:type="dxa"/>
              <w:left w:w="0" w:type="dxa"/>
              <w:bottom w:w="0" w:type="dxa"/>
              <w:right w:w="0" w:type="dxa"/>
            </w:tcMar>
          </w:tcPr>
          <w:p w14:paraId="3E2A063D"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6D3E31EB" w14:textId="77777777" w:rsidR="001F2076" w:rsidRDefault="007F3B32">
            <w:pPr>
              <w:spacing w:before="100" w:after="100"/>
              <w:ind w:left="100" w:right="100"/>
            </w:pPr>
            <w:r>
              <w:rPr>
                <w:rFonts w:ascii="Arial" w:eastAsia="Arial" w:hAnsi="Arial" w:cs="Arial"/>
                <w:color w:val="000000"/>
                <w:sz w:val="20"/>
                <w:szCs w:val="20"/>
              </w:rPr>
              <w:t>19</w:t>
            </w:r>
          </w:p>
        </w:tc>
        <w:tc>
          <w:tcPr>
            <w:tcW w:w="1800" w:type="dxa"/>
            <w:shd w:val="clear" w:color="auto" w:fill="FFFFFF"/>
            <w:tcMar>
              <w:top w:w="0" w:type="dxa"/>
              <w:left w:w="0" w:type="dxa"/>
              <w:bottom w:w="0" w:type="dxa"/>
              <w:right w:w="0" w:type="dxa"/>
            </w:tcMar>
            <w:vAlign w:val="center"/>
          </w:tcPr>
          <w:p w14:paraId="060DE375"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FFFFFF"/>
            <w:tcMar>
              <w:top w:w="0" w:type="dxa"/>
              <w:left w:w="0" w:type="dxa"/>
              <w:bottom w:w="0" w:type="dxa"/>
              <w:right w:w="0" w:type="dxa"/>
            </w:tcMar>
            <w:vAlign w:val="center"/>
          </w:tcPr>
          <w:p w14:paraId="5DDBC64F" w14:textId="77777777" w:rsidR="001F2076" w:rsidRDefault="007F3B32">
            <w:pPr>
              <w:spacing w:before="100" w:after="100"/>
              <w:ind w:left="100" w:right="100"/>
            </w:pPr>
            <w:r>
              <w:rPr>
                <w:rFonts w:ascii="Arial" w:eastAsia="Arial" w:hAnsi="Arial" w:cs="Arial"/>
                <w:color w:val="000000"/>
                <w:sz w:val="20"/>
                <w:szCs w:val="20"/>
              </w:rPr>
              <w:t>19</w:t>
            </w:r>
          </w:p>
        </w:tc>
        <w:tc>
          <w:tcPr>
            <w:tcW w:w="1800" w:type="dxa"/>
            <w:shd w:val="clear" w:color="auto" w:fill="FFFFFF"/>
            <w:tcMar>
              <w:top w:w="0" w:type="dxa"/>
              <w:left w:w="0" w:type="dxa"/>
              <w:bottom w:w="0" w:type="dxa"/>
              <w:right w:w="0" w:type="dxa"/>
            </w:tcMar>
            <w:vAlign w:val="center"/>
          </w:tcPr>
          <w:p w14:paraId="5353B77D"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FFFFFF"/>
            <w:tcMar>
              <w:top w:w="0" w:type="dxa"/>
              <w:left w:w="0" w:type="dxa"/>
              <w:bottom w:w="0" w:type="dxa"/>
              <w:right w:w="0" w:type="dxa"/>
            </w:tcMar>
            <w:vAlign w:val="center"/>
          </w:tcPr>
          <w:p w14:paraId="4DB31ABD" w14:textId="77777777" w:rsidR="001F2076" w:rsidRDefault="007F3B32">
            <w:pPr>
              <w:spacing w:before="100" w:after="100"/>
              <w:ind w:left="100" w:right="100"/>
            </w:pPr>
            <w:r>
              <w:rPr>
                <w:rFonts w:ascii="Arial" w:eastAsia="Arial" w:hAnsi="Arial" w:cs="Arial"/>
                <w:color w:val="000000"/>
                <w:sz w:val="20"/>
                <w:szCs w:val="20"/>
              </w:rPr>
              <w:t>19</w:t>
            </w:r>
          </w:p>
        </w:tc>
        <w:tc>
          <w:tcPr>
            <w:tcW w:w="1800" w:type="dxa"/>
            <w:shd w:val="clear" w:color="auto" w:fill="FFFFFF"/>
            <w:tcMar>
              <w:top w:w="0" w:type="dxa"/>
              <w:left w:w="0" w:type="dxa"/>
              <w:bottom w:w="0" w:type="dxa"/>
              <w:right w:w="0" w:type="dxa"/>
            </w:tcMar>
            <w:vAlign w:val="center"/>
          </w:tcPr>
          <w:p w14:paraId="6B15A6D0" w14:textId="77777777" w:rsidR="001F2076" w:rsidRDefault="007F3B32">
            <w:pPr>
              <w:spacing w:before="100" w:after="100"/>
              <w:ind w:left="100" w:right="100"/>
            </w:pPr>
            <w:r>
              <w:rPr>
                <w:rFonts w:ascii="Arial" w:eastAsia="Arial" w:hAnsi="Arial" w:cs="Arial"/>
                <w:color w:val="000000"/>
                <w:sz w:val="20"/>
                <w:szCs w:val="20"/>
              </w:rPr>
              <w:t>1</w:t>
            </w:r>
          </w:p>
        </w:tc>
      </w:tr>
      <w:tr w:rsidR="001F2076" w14:paraId="54A60EDE" w14:textId="77777777">
        <w:trPr>
          <w:cantSplit/>
          <w:jc w:val="center"/>
        </w:trPr>
        <w:tc>
          <w:tcPr>
            <w:tcW w:w="1800" w:type="dxa"/>
            <w:shd w:val="clear" w:color="auto" w:fill="EFEFEF"/>
            <w:tcMar>
              <w:top w:w="0" w:type="dxa"/>
              <w:left w:w="0" w:type="dxa"/>
              <w:bottom w:w="0" w:type="dxa"/>
              <w:right w:w="0" w:type="dxa"/>
            </w:tcMar>
          </w:tcPr>
          <w:p w14:paraId="71DA694F" w14:textId="77777777" w:rsidR="001F2076" w:rsidRDefault="007F3B32">
            <w:pPr>
              <w:spacing w:before="100" w:after="100"/>
              <w:ind w:left="100" w:right="100"/>
            </w:pPr>
            <w:r>
              <w:rPr>
                <w:rFonts w:ascii="Arial" w:eastAsia="Arial" w:hAnsi="Arial" w:cs="Arial"/>
                <w:color w:val="000000"/>
                <w:sz w:val="20"/>
                <w:szCs w:val="20"/>
              </w:rPr>
              <w:t>X-Ray Pulmonary TB</w:t>
            </w:r>
          </w:p>
        </w:tc>
        <w:tc>
          <w:tcPr>
            <w:tcW w:w="1800" w:type="dxa"/>
            <w:shd w:val="clear" w:color="auto" w:fill="EFEFEF"/>
            <w:tcMar>
              <w:top w:w="0" w:type="dxa"/>
              <w:left w:w="0" w:type="dxa"/>
              <w:bottom w:w="0" w:type="dxa"/>
              <w:right w:w="0" w:type="dxa"/>
            </w:tcMar>
            <w:vAlign w:val="center"/>
          </w:tcPr>
          <w:p w14:paraId="6306FA7A" w14:textId="77777777" w:rsidR="001F2076" w:rsidRDefault="007F3B32">
            <w:pPr>
              <w:spacing w:before="100" w:after="100"/>
              <w:ind w:left="100" w:right="100"/>
            </w:pPr>
            <w:r>
              <w:rPr>
                <w:rFonts w:ascii="Arial" w:eastAsia="Arial" w:hAnsi="Arial" w:cs="Arial"/>
                <w:color w:val="000000"/>
                <w:sz w:val="20"/>
                <w:szCs w:val="20"/>
              </w:rPr>
              <w:t>18 (3.0%)</w:t>
            </w:r>
          </w:p>
        </w:tc>
        <w:tc>
          <w:tcPr>
            <w:tcW w:w="1800" w:type="dxa"/>
            <w:shd w:val="clear" w:color="auto" w:fill="EFEFEF"/>
            <w:tcMar>
              <w:top w:w="0" w:type="dxa"/>
              <w:left w:w="0" w:type="dxa"/>
              <w:bottom w:w="0" w:type="dxa"/>
              <w:right w:w="0" w:type="dxa"/>
            </w:tcMar>
            <w:vAlign w:val="center"/>
          </w:tcPr>
          <w:p w14:paraId="1DC4010D" w14:textId="77777777" w:rsidR="001F2076" w:rsidRDefault="007F3B32">
            <w:pPr>
              <w:spacing w:before="100" w:after="100"/>
              <w:ind w:left="100" w:right="100"/>
            </w:pPr>
            <w:r>
              <w:rPr>
                <w:rFonts w:ascii="Arial" w:eastAsia="Arial" w:hAnsi="Arial" w:cs="Arial"/>
                <w:color w:val="000000"/>
                <w:sz w:val="20"/>
                <w:szCs w:val="20"/>
              </w:rPr>
              <w:t>19 (21%)</w:t>
            </w:r>
          </w:p>
        </w:tc>
        <w:tc>
          <w:tcPr>
            <w:tcW w:w="1800" w:type="dxa"/>
            <w:shd w:val="clear" w:color="auto" w:fill="EFEFEF"/>
            <w:tcMar>
              <w:top w:w="0" w:type="dxa"/>
              <w:left w:w="0" w:type="dxa"/>
              <w:bottom w:w="0" w:type="dxa"/>
              <w:right w:w="0" w:type="dxa"/>
            </w:tcMar>
            <w:vAlign w:val="center"/>
          </w:tcPr>
          <w:p w14:paraId="03690454" w14:textId="77777777" w:rsidR="001F2076" w:rsidRDefault="007F3B32">
            <w:pPr>
              <w:spacing w:before="100" w:after="100"/>
              <w:ind w:left="100" w:right="100"/>
            </w:pPr>
            <w:r>
              <w:rPr>
                <w:rFonts w:ascii="Arial" w:eastAsia="Arial" w:hAnsi="Arial" w:cs="Arial"/>
                <w:color w:val="000000"/>
                <w:sz w:val="20"/>
                <w:szCs w:val="20"/>
              </w:rPr>
              <w:t>18 (2.9%)</w:t>
            </w:r>
          </w:p>
        </w:tc>
        <w:tc>
          <w:tcPr>
            <w:tcW w:w="1800" w:type="dxa"/>
            <w:shd w:val="clear" w:color="auto" w:fill="EFEFEF"/>
            <w:tcMar>
              <w:top w:w="0" w:type="dxa"/>
              <w:left w:w="0" w:type="dxa"/>
              <w:bottom w:w="0" w:type="dxa"/>
              <w:right w:w="0" w:type="dxa"/>
            </w:tcMar>
            <w:vAlign w:val="center"/>
          </w:tcPr>
          <w:p w14:paraId="6ED7AB42" w14:textId="77777777" w:rsidR="001F2076" w:rsidRDefault="007F3B32">
            <w:pPr>
              <w:spacing w:before="100" w:after="100"/>
              <w:ind w:left="100" w:right="100"/>
            </w:pPr>
            <w:r>
              <w:rPr>
                <w:rFonts w:ascii="Arial" w:eastAsia="Arial" w:hAnsi="Arial" w:cs="Arial"/>
                <w:color w:val="000000"/>
                <w:sz w:val="20"/>
                <w:szCs w:val="20"/>
              </w:rPr>
              <w:t>19 (26%)</w:t>
            </w:r>
          </w:p>
        </w:tc>
        <w:tc>
          <w:tcPr>
            <w:tcW w:w="1800" w:type="dxa"/>
            <w:shd w:val="clear" w:color="auto" w:fill="EFEFEF"/>
            <w:tcMar>
              <w:top w:w="0" w:type="dxa"/>
              <w:left w:w="0" w:type="dxa"/>
              <w:bottom w:w="0" w:type="dxa"/>
              <w:right w:w="0" w:type="dxa"/>
            </w:tcMar>
            <w:vAlign w:val="center"/>
          </w:tcPr>
          <w:p w14:paraId="62D1EB46" w14:textId="77777777" w:rsidR="001F2076" w:rsidRDefault="007F3B32">
            <w:pPr>
              <w:spacing w:before="100" w:after="100"/>
              <w:ind w:left="100" w:right="100"/>
            </w:pPr>
            <w:r>
              <w:rPr>
                <w:rFonts w:ascii="Arial" w:eastAsia="Arial" w:hAnsi="Arial" w:cs="Arial"/>
                <w:color w:val="000000"/>
                <w:sz w:val="20"/>
                <w:szCs w:val="20"/>
              </w:rPr>
              <w:t>13 (2.3%)</w:t>
            </w:r>
          </w:p>
        </w:tc>
        <w:tc>
          <w:tcPr>
            <w:tcW w:w="1800" w:type="dxa"/>
            <w:shd w:val="clear" w:color="auto" w:fill="EFEFEF"/>
            <w:tcMar>
              <w:top w:w="0" w:type="dxa"/>
              <w:left w:w="0" w:type="dxa"/>
              <w:bottom w:w="0" w:type="dxa"/>
              <w:right w:w="0" w:type="dxa"/>
            </w:tcMar>
            <w:vAlign w:val="center"/>
          </w:tcPr>
          <w:p w14:paraId="2A3BD6A4" w14:textId="77777777" w:rsidR="001F2076" w:rsidRDefault="007F3B32">
            <w:pPr>
              <w:spacing w:before="100" w:after="100"/>
              <w:ind w:left="100" w:right="100"/>
            </w:pPr>
            <w:r>
              <w:rPr>
                <w:rFonts w:ascii="Arial" w:eastAsia="Arial" w:hAnsi="Arial" w:cs="Arial"/>
                <w:color w:val="000000"/>
                <w:sz w:val="20"/>
                <w:szCs w:val="20"/>
              </w:rPr>
              <w:t>24 (18%)</w:t>
            </w:r>
          </w:p>
        </w:tc>
      </w:tr>
      <w:tr w:rsidR="001F2076" w14:paraId="20401134" w14:textId="77777777">
        <w:trPr>
          <w:cantSplit/>
          <w:jc w:val="center"/>
        </w:trPr>
        <w:tc>
          <w:tcPr>
            <w:tcW w:w="1800" w:type="dxa"/>
            <w:shd w:val="clear" w:color="auto" w:fill="FFFFFF"/>
            <w:tcMar>
              <w:top w:w="0" w:type="dxa"/>
              <w:left w:w="0" w:type="dxa"/>
              <w:bottom w:w="0" w:type="dxa"/>
              <w:right w:w="0" w:type="dxa"/>
            </w:tcMar>
          </w:tcPr>
          <w:p w14:paraId="01954AD2" w14:textId="77777777" w:rsidR="001F2076" w:rsidRDefault="007F3B32">
            <w:pPr>
              <w:spacing w:before="100" w:after="100"/>
              <w:ind w:left="100" w:right="100"/>
            </w:pPr>
            <w:r>
              <w:rPr>
                <w:rFonts w:ascii="Arial" w:eastAsia="Arial" w:hAnsi="Arial" w:cs="Arial"/>
                <w:color w:val="000000"/>
                <w:sz w:val="20"/>
                <w:szCs w:val="20"/>
              </w:rPr>
              <w:t xml:space="preserve">X-Ray </w:t>
            </w:r>
            <w:proofErr w:type="spellStart"/>
            <w:r>
              <w:rPr>
                <w:rFonts w:ascii="Arial" w:eastAsia="Arial" w:hAnsi="Arial" w:cs="Arial"/>
                <w:color w:val="000000"/>
                <w:sz w:val="20"/>
                <w:szCs w:val="20"/>
              </w:rPr>
              <w:t>Miliary</w:t>
            </w:r>
            <w:proofErr w:type="spellEnd"/>
            <w:r>
              <w:rPr>
                <w:rFonts w:ascii="Arial" w:eastAsia="Arial" w:hAnsi="Arial" w:cs="Arial"/>
                <w:color w:val="000000"/>
                <w:sz w:val="20"/>
                <w:szCs w:val="20"/>
              </w:rPr>
              <w:t xml:space="preserve"> TB</w:t>
            </w:r>
          </w:p>
        </w:tc>
        <w:tc>
          <w:tcPr>
            <w:tcW w:w="1800" w:type="dxa"/>
            <w:shd w:val="clear" w:color="auto" w:fill="FFFFFF"/>
            <w:tcMar>
              <w:top w:w="0" w:type="dxa"/>
              <w:left w:w="0" w:type="dxa"/>
              <w:bottom w:w="0" w:type="dxa"/>
              <w:right w:w="0" w:type="dxa"/>
            </w:tcMar>
            <w:vAlign w:val="center"/>
          </w:tcPr>
          <w:p w14:paraId="57640A8B" w14:textId="77777777" w:rsidR="001F2076" w:rsidRDefault="007F3B32">
            <w:pPr>
              <w:spacing w:before="100" w:after="100"/>
              <w:ind w:left="100" w:right="100"/>
            </w:pPr>
            <w:r>
              <w:rPr>
                <w:rFonts w:ascii="Arial" w:eastAsia="Arial" w:hAnsi="Arial" w:cs="Arial"/>
                <w:color w:val="000000"/>
                <w:sz w:val="20"/>
                <w:szCs w:val="20"/>
              </w:rPr>
              <w:t>2 (0.3%)</w:t>
            </w:r>
          </w:p>
        </w:tc>
        <w:tc>
          <w:tcPr>
            <w:tcW w:w="1800" w:type="dxa"/>
            <w:shd w:val="clear" w:color="auto" w:fill="FFFFFF"/>
            <w:tcMar>
              <w:top w:w="0" w:type="dxa"/>
              <w:left w:w="0" w:type="dxa"/>
              <w:bottom w:w="0" w:type="dxa"/>
              <w:right w:w="0" w:type="dxa"/>
            </w:tcMar>
            <w:vAlign w:val="center"/>
          </w:tcPr>
          <w:p w14:paraId="33F54F70" w14:textId="77777777" w:rsidR="001F2076" w:rsidRDefault="007F3B32">
            <w:pPr>
              <w:spacing w:before="100" w:after="100"/>
              <w:ind w:left="100" w:right="100"/>
            </w:pPr>
            <w:r>
              <w:rPr>
                <w:rFonts w:ascii="Arial" w:eastAsia="Arial" w:hAnsi="Arial" w:cs="Arial"/>
                <w:color w:val="000000"/>
                <w:sz w:val="20"/>
                <w:szCs w:val="20"/>
              </w:rPr>
              <w:t>3 (3.3%)</w:t>
            </w:r>
          </w:p>
        </w:tc>
        <w:tc>
          <w:tcPr>
            <w:tcW w:w="1800" w:type="dxa"/>
            <w:shd w:val="clear" w:color="auto" w:fill="FFFFFF"/>
            <w:tcMar>
              <w:top w:w="0" w:type="dxa"/>
              <w:left w:w="0" w:type="dxa"/>
              <w:bottom w:w="0" w:type="dxa"/>
              <w:right w:w="0" w:type="dxa"/>
            </w:tcMar>
            <w:vAlign w:val="center"/>
          </w:tcPr>
          <w:p w14:paraId="64F551EE" w14:textId="77777777" w:rsidR="001F2076" w:rsidRDefault="007F3B32">
            <w:pPr>
              <w:spacing w:before="100" w:after="100"/>
              <w:ind w:left="100" w:right="100"/>
            </w:pPr>
            <w:r>
              <w:rPr>
                <w:rFonts w:ascii="Arial" w:eastAsia="Arial" w:hAnsi="Arial" w:cs="Arial"/>
                <w:color w:val="000000"/>
                <w:sz w:val="20"/>
                <w:szCs w:val="20"/>
              </w:rPr>
              <w:t>2 (0.3%)</w:t>
            </w:r>
          </w:p>
        </w:tc>
        <w:tc>
          <w:tcPr>
            <w:tcW w:w="1800" w:type="dxa"/>
            <w:shd w:val="clear" w:color="auto" w:fill="FFFFFF"/>
            <w:tcMar>
              <w:top w:w="0" w:type="dxa"/>
              <w:left w:w="0" w:type="dxa"/>
              <w:bottom w:w="0" w:type="dxa"/>
              <w:right w:w="0" w:type="dxa"/>
            </w:tcMar>
            <w:vAlign w:val="center"/>
          </w:tcPr>
          <w:p w14:paraId="3254F3EC" w14:textId="77777777" w:rsidR="001F2076" w:rsidRDefault="007F3B32">
            <w:pPr>
              <w:spacing w:before="100" w:after="100"/>
              <w:ind w:left="100" w:right="100"/>
            </w:pPr>
            <w:r>
              <w:rPr>
                <w:rFonts w:ascii="Arial" w:eastAsia="Arial" w:hAnsi="Arial" w:cs="Arial"/>
                <w:color w:val="000000"/>
                <w:sz w:val="20"/>
                <w:szCs w:val="20"/>
              </w:rPr>
              <w:t>3 (4.1%)</w:t>
            </w:r>
          </w:p>
        </w:tc>
        <w:tc>
          <w:tcPr>
            <w:tcW w:w="1800" w:type="dxa"/>
            <w:shd w:val="clear" w:color="auto" w:fill="FFFFFF"/>
            <w:tcMar>
              <w:top w:w="0" w:type="dxa"/>
              <w:left w:w="0" w:type="dxa"/>
              <w:bottom w:w="0" w:type="dxa"/>
              <w:right w:w="0" w:type="dxa"/>
            </w:tcMar>
            <w:vAlign w:val="center"/>
          </w:tcPr>
          <w:p w14:paraId="001E841F" w14:textId="77777777" w:rsidR="001F2076" w:rsidRDefault="007F3B32">
            <w:pPr>
              <w:spacing w:before="100" w:after="100"/>
              <w:ind w:left="100" w:right="100"/>
            </w:pPr>
            <w:r>
              <w:rPr>
                <w:rFonts w:ascii="Arial" w:eastAsia="Arial" w:hAnsi="Arial" w:cs="Arial"/>
                <w:color w:val="000000"/>
                <w:sz w:val="20"/>
                <w:szCs w:val="20"/>
              </w:rPr>
              <w:t>2 (0.4%)</w:t>
            </w:r>
          </w:p>
        </w:tc>
        <w:tc>
          <w:tcPr>
            <w:tcW w:w="1800" w:type="dxa"/>
            <w:shd w:val="clear" w:color="auto" w:fill="FFFFFF"/>
            <w:tcMar>
              <w:top w:w="0" w:type="dxa"/>
              <w:left w:w="0" w:type="dxa"/>
              <w:bottom w:w="0" w:type="dxa"/>
              <w:right w:w="0" w:type="dxa"/>
            </w:tcMar>
            <w:vAlign w:val="center"/>
          </w:tcPr>
          <w:p w14:paraId="2DBF5581" w14:textId="77777777" w:rsidR="001F2076" w:rsidRDefault="007F3B32">
            <w:pPr>
              <w:spacing w:before="100" w:after="100"/>
              <w:ind w:left="100" w:right="100"/>
            </w:pPr>
            <w:r>
              <w:rPr>
                <w:rFonts w:ascii="Arial" w:eastAsia="Arial" w:hAnsi="Arial" w:cs="Arial"/>
                <w:color w:val="000000"/>
                <w:sz w:val="20"/>
                <w:szCs w:val="20"/>
              </w:rPr>
              <w:t>3 (2.3%)</w:t>
            </w:r>
          </w:p>
        </w:tc>
      </w:tr>
      <w:tr w:rsidR="001F2076" w14:paraId="382C29D2" w14:textId="77777777">
        <w:trPr>
          <w:cantSplit/>
          <w:jc w:val="center"/>
        </w:trPr>
        <w:tc>
          <w:tcPr>
            <w:tcW w:w="1800" w:type="dxa"/>
            <w:shd w:val="clear" w:color="auto" w:fill="EFEFEF"/>
            <w:tcMar>
              <w:top w:w="0" w:type="dxa"/>
              <w:left w:w="0" w:type="dxa"/>
              <w:bottom w:w="0" w:type="dxa"/>
              <w:right w:w="0" w:type="dxa"/>
            </w:tcMar>
          </w:tcPr>
          <w:p w14:paraId="54E0C9DC" w14:textId="77777777" w:rsidR="001F2076" w:rsidRDefault="007F3B32">
            <w:pPr>
              <w:spacing w:before="100" w:after="100"/>
              <w:ind w:left="100" w:right="100"/>
            </w:pPr>
            <w:r>
              <w:rPr>
                <w:rFonts w:ascii="Arial" w:eastAsia="Arial" w:hAnsi="Arial" w:cs="Arial"/>
                <w:color w:val="000000"/>
                <w:sz w:val="20"/>
                <w:szCs w:val="20"/>
              </w:rPr>
              <w:t>CSF Lymphocyte Count</w:t>
            </w:r>
          </w:p>
        </w:tc>
        <w:tc>
          <w:tcPr>
            <w:tcW w:w="1800" w:type="dxa"/>
            <w:shd w:val="clear" w:color="auto" w:fill="EFEFEF"/>
            <w:tcMar>
              <w:top w:w="0" w:type="dxa"/>
              <w:left w:w="0" w:type="dxa"/>
              <w:bottom w:w="0" w:type="dxa"/>
              <w:right w:w="0" w:type="dxa"/>
            </w:tcMar>
            <w:vAlign w:val="center"/>
          </w:tcPr>
          <w:p w14:paraId="4EACF22F" w14:textId="77777777" w:rsidR="001F2076" w:rsidRDefault="007F3B32">
            <w:pPr>
              <w:spacing w:before="100" w:after="100"/>
              <w:ind w:left="100" w:right="100"/>
            </w:pPr>
            <w:r>
              <w:rPr>
                <w:rFonts w:ascii="Arial" w:eastAsia="Arial" w:hAnsi="Arial" w:cs="Arial"/>
                <w:color w:val="000000"/>
                <w:sz w:val="20"/>
                <w:szCs w:val="20"/>
              </w:rPr>
              <w:t>283 (9, 274)</w:t>
            </w:r>
          </w:p>
        </w:tc>
        <w:tc>
          <w:tcPr>
            <w:tcW w:w="1800" w:type="dxa"/>
            <w:shd w:val="clear" w:color="auto" w:fill="EFEFEF"/>
            <w:tcMar>
              <w:top w:w="0" w:type="dxa"/>
              <w:left w:w="0" w:type="dxa"/>
              <w:bottom w:w="0" w:type="dxa"/>
              <w:right w:w="0" w:type="dxa"/>
            </w:tcMar>
            <w:vAlign w:val="center"/>
          </w:tcPr>
          <w:p w14:paraId="5BD3D92D" w14:textId="77777777" w:rsidR="001F2076" w:rsidRDefault="007F3B32">
            <w:pPr>
              <w:spacing w:before="100" w:after="100"/>
              <w:ind w:left="100" w:right="100"/>
            </w:pPr>
            <w:r>
              <w:rPr>
                <w:rFonts w:ascii="Arial" w:eastAsia="Arial" w:hAnsi="Arial" w:cs="Arial"/>
                <w:color w:val="000000"/>
                <w:sz w:val="20"/>
                <w:szCs w:val="20"/>
              </w:rPr>
              <w:t>225 (77, 305)</w:t>
            </w:r>
          </w:p>
        </w:tc>
        <w:tc>
          <w:tcPr>
            <w:tcW w:w="1800" w:type="dxa"/>
            <w:shd w:val="clear" w:color="auto" w:fill="EFEFEF"/>
            <w:tcMar>
              <w:top w:w="0" w:type="dxa"/>
              <w:left w:w="0" w:type="dxa"/>
              <w:bottom w:w="0" w:type="dxa"/>
              <w:right w:w="0" w:type="dxa"/>
            </w:tcMar>
            <w:vAlign w:val="center"/>
          </w:tcPr>
          <w:p w14:paraId="693F86F6" w14:textId="77777777" w:rsidR="001F2076" w:rsidRDefault="007F3B32">
            <w:pPr>
              <w:spacing w:before="100" w:after="100"/>
              <w:ind w:left="100" w:right="100"/>
            </w:pPr>
            <w:r>
              <w:rPr>
                <w:rFonts w:ascii="Arial" w:eastAsia="Arial" w:hAnsi="Arial" w:cs="Arial"/>
                <w:color w:val="000000"/>
                <w:sz w:val="20"/>
                <w:szCs w:val="20"/>
              </w:rPr>
              <w:t>284 (10, 289)</w:t>
            </w:r>
          </w:p>
        </w:tc>
        <w:tc>
          <w:tcPr>
            <w:tcW w:w="1800" w:type="dxa"/>
            <w:shd w:val="clear" w:color="auto" w:fill="EFEFEF"/>
            <w:tcMar>
              <w:top w:w="0" w:type="dxa"/>
              <w:left w:w="0" w:type="dxa"/>
              <w:bottom w:w="0" w:type="dxa"/>
              <w:right w:w="0" w:type="dxa"/>
            </w:tcMar>
            <w:vAlign w:val="center"/>
          </w:tcPr>
          <w:p w14:paraId="45296F9F" w14:textId="77777777" w:rsidR="001F2076" w:rsidRDefault="007F3B32">
            <w:pPr>
              <w:spacing w:before="100" w:after="100"/>
              <w:ind w:left="100" w:right="100"/>
            </w:pPr>
            <w:r>
              <w:rPr>
                <w:rFonts w:ascii="Arial" w:eastAsia="Arial" w:hAnsi="Arial" w:cs="Arial"/>
                <w:color w:val="000000"/>
                <w:sz w:val="20"/>
                <w:szCs w:val="20"/>
              </w:rPr>
              <w:t>201 (54, 236)</w:t>
            </w:r>
          </w:p>
        </w:tc>
        <w:tc>
          <w:tcPr>
            <w:tcW w:w="1800" w:type="dxa"/>
            <w:shd w:val="clear" w:color="auto" w:fill="EFEFEF"/>
            <w:tcMar>
              <w:top w:w="0" w:type="dxa"/>
              <w:left w:w="0" w:type="dxa"/>
              <w:bottom w:w="0" w:type="dxa"/>
              <w:right w:w="0" w:type="dxa"/>
            </w:tcMar>
            <w:vAlign w:val="center"/>
          </w:tcPr>
          <w:p w14:paraId="61AC01F3" w14:textId="77777777" w:rsidR="001F2076" w:rsidRDefault="007F3B32">
            <w:pPr>
              <w:spacing w:before="100" w:after="100"/>
              <w:ind w:left="100" w:right="100"/>
            </w:pPr>
            <w:r>
              <w:rPr>
                <w:rFonts w:ascii="Arial" w:eastAsia="Arial" w:hAnsi="Arial" w:cs="Arial"/>
                <w:color w:val="000000"/>
                <w:sz w:val="20"/>
                <w:szCs w:val="20"/>
              </w:rPr>
              <w:t>291 (8, 286)</w:t>
            </w:r>
          </w:p>
        </w:tc>
        <w:tc>
          <w:tcPr>
            <w:tcW w:w="1800" w:type="dxa"/>
            <w:shd w:val="clear" w:color="auto" w:fill="EFEFEF"/>
            <w:tcMar>
              <w:top w:w="0" w:type="dxa"/>
              <w:left w:w="0" w:type="dxa"/>
              <w:bottom w:w="0" w:type="dxa"/>
              <w:right w:w="0" w:type="dxa"/>
            </w:tcMar>
            <w:vAlign w:val="center"/>
          </w:tcPr>
          <w:p w14:paraId="1ED3A34B" w14:textId="77777777" w:rsidR="001F2076" w:rsidRDefault="007F3B32">
            <w:pPr>
              <w:spacing w:before="100" w:after="100"/>
              <w:ind w:left="100" w:right="100"/>
            </w:pPr>
            <w:r>
              <w:rPr>
                <w:rFonts w:ascii="Arial" w:eastAsia="Arial" w:hAnsi="Arial" w:cs="Arial"/>
                <w:color w:val="000000"/>
                <w:sz w:val="20"/>
                <w:szCs w:val="20"/>
              </w:rPr>
              <w:t>210 (65, 271)</w:t>
            </w:r>
          </w:p>
        </w:tc>
      </w:tr>
      <w:tr w:rsidR="001F2076" w14:paraId="63CDFA1C" w14:textId="77777777">
        <w:trPr>
          <w:cantSplit/>
          <w:jc w:val="center"/>
        </w:trPr>
        <w:tc>
          <w:tcPr>
            <w:tcW w:w="1800" w:type="dxa"/>
            <w:shd w:val="clear" w:color="auto" w:fill="FFFFFF"/>
            <w:tcMar>
              <w:top w:w="0" w:type="dxa"/>
              <w:left w:w="0" w:type="dxa"/>
              <w:bottom w:w="0" w:type="dxa"/>
              <w:right w:w="0" w:type="dxa"/>
            </w:tcMar>
          </w:tcPr>
          <w:p w14:paraId="114D3243"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598DE711" w14:textId="77777777"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14:paraId="33E64FE4" w14:textId="77777777"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14:paraId="2593BA11" w14:textId="77777777"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14:paraId="2F55E8A8" w14:textId="77777777"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14:paraId="0DCB3DA4" w14:textId="77777777"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14:paraId="4908706E" w14:textId="77777777" w:rsidR="001F2076" w:rsidRDefault="007F3B32">
            <w:pPr>
              <w:spacing w:before="100" w:after="100"/>
              <w:ind w:left="100" w:right="100"/>
            </w:pPr>
            <w:r>
              <w:rPr>
                <w:rFonts w:ascii="Arial" w:eastAsia="Arial" w:hAnsi="Arial" w:cs="Arial"/>
                <w:color w:val="000000"/>
                <w:sz w:val="20"/>
                <w:szCs w:val="20"/>
              </w:rPr>
              <w:t>0</w:t>
            </w:r>
          </w:p>
        </w:tc>
      </w:tr>
      <w:tr w:rsidR="001F2076" w14:paraId="5531742A" w14:textId="77777777">
        <w:trPr>
          <w:cantSplit/>
          <w:jc w:val="center"/>
        </w:trPr>
        <w:tc>
          <w:tcPr>
            <w:tcW w:w="1800" w:type="dxa"/>
            <w:shd w:val="clear" w:color="auto" w:fill="EFEFEF"/>
            <w:tcMar>
              <w:top w:w="0" w:type="dxa"/>
              <w:left w:w="0" w:type="dxa"/>
              <w:bottom w:w="0" w:type="dxa"/>
              <w:right w:w="0" w:type="dxa"/>
            </w:tcMar>
          </w:tcPr>
          <w:p w14:paraId="7000EF51" w14:textId="77777777" w:rsidR="001F2076" w:rsidRDefault="007F3B32">
            <w:pPr>
              <w:spacing w:before="100" w:after="100"/>
              <w:ind w:left="100" w:right="100"/>
            </w:pPr>
            <w:r>
              <w:rPr>
                <w:rFonts w:ascii="Arial" w:eastAsia="Arial" w:hAnsi="Arial" w:cs="Arial"/>
                <w:color w:val="000000"/>
                <w:sz w:val="20"/>
                <w:szCs w:val="20"/>
              </w:rPr>
              <w:t>CSF Neutrophil Count</w:t>
            </w:r>
          </w:p>
        </w:tc>
        <w:tc>
          <w:tcPr>
            <w:tcW w:w="1800" w:type="dxa"/>
            <w:shd w:val="clear" w:color="auto" w:fill="EFEFEF"/>
            <w:tcMar>
              <w:top w:w="0" w:type="dxa"/>
              <w:left w:w="0" w:type="dxa"/>
              <w:bottom w:w="0" w:type="dxa"/>
              <w:right w:w="0" w:type="dxa"/>
            </w:tcMar>
            <w:vAlign w:val="center"/>
          </w:tcPr>
          <w:p w14:paraId="6EE9ECE3" w14:textId="77777777" w:rsidR="001F2076" w:rsidRDefault="007F3B32">
            <w:pPr>
              <w:spacing w:before="100" w:after="100"/>
              <w:ind w:left="100" w:right="100"/>
            </w:pPr>
            <w:r>
              <w:rPr>
                <w:rFonts w:ascii="Arial" w:eastAsia="Arial" w:hAnsi="Arial" w:cs="Arial"/>
                <w:color w:val="000000"/>
                <w:sz w:val="20"/>
                <w:szCs w:val="20"/>
              </w:rPr>
              <w:t>1,108 (3, 201)</w:t>
            </w:r>
          </w:p>
        </w:tc>
        <w:tc>
          <w:tcPr>
            <w:tcW w:w="1800" w:type="dxa"/>
            <w:shd w:val="clear" w:color="auto" w:fill="EFEFEF"/>
            <w:tcMar>
              <w:top w:w="0" w:type="dxa"/>
              <w:left w:w="0" w:type="dxa"/>
              <w:bottom w:w="0" w:type="dxa"/>
              <w:right w:w="0" w:type="dxa"/>
            </w:tcMar>
            <w:vAlign w:val="center"/>
          </w:tcPr>
          <w:p w14:paraId="1F31A10D" w14:textId="77777777" w:rsidR="001F2076" w:rsidRDefault="007F3B32">
            <w:pPr>
              <w:spacing w:before="100" w:after="100"/>
              <w:ind w:left="100" w:right="100"/>
            </w:pPr>
            <w:r>
              <w:rPr>
                <w:rFonts w:ascii="Arial" w:eastAsia="Arial" w:hAnsi="Arial" w:cs="Arial"/>
                <w:color w:val="000000"/>
                <w:sz w:val="20"/>
                <w:szCs w:val="20"/>
              </w:rPr>
              <w:t>241 (53, 223)</w:t>
            </w:r>
          </w:p>
        </w:tc>
        <w:tc>
          <w:tcPr>
            <w:tcW w:w="1800" w:type="dxa"/>
            <w:shd w:val="clear" w:color="auto" w:fill="EFEFEF"/>
            <w:tcMar>
              <w:top w:w="0" w:type="dxa"/>
              <w:left w:w="0" w:type="dxa"/>
              <w:bottom w:w="0" w:type="dxa"/>
              <w:right w:w="0" w:type="dxa"/>
            </w:tcMar>
            <w:vAlign w:val="center"/>
          </w:tcPr>
          <w:p w14:paraId="4DFC2871" w14:textId="77777777" w:rsidR="001F2076" w:rsidRDefault="007F3B32">
            <w:pPr>
              <w:spacing w:before="100" w:after="100"/>
              <w:ind w:left="100" w:right="100"/>
            </w:pPr>
            <w:r>
              <w:rPr>
                <w:rFonts w:ascii="Arial" w:eastAsia="Arial" w:hAnsi="Arial" w:cs="Arial"/>
                <w:color w:val="000000"/>
                <w:sz w:val="20"/>
                <w:szCs w:val="20"/>
              </w:rPr>
              <w:t>1,080 (3, 171)</w:t>
            </w:r>
          </w:p>
        </w:tc>
        <w:tc>
          <w:tcPr>
            <w:tcW w:w="1800" w:type="dxa"/>
            <w:shd w:val="clear" w:color="auto" w:fill="EFEFEF"/>
            <w:tcMar>
              <w:top w:w="0" w:type="dxa"/>
              <w:left w:w="0" w:type="dxa"/>
              <w:bottom w:w="0" w:type="dxa"/>
              <w:right w:w="0" w:type="dxa"/>
            </w:tcMar>
            <w:vAlign w:val="center"/>
          </w:tcPr>
          <w:p w14:paraId="5DA86425" w14:textId="77777777" w:rsidR="001F2076" w:rsidRDefault="007F3B32">
            <w:pPr>
              <w:spacing w:before="100" w:after="100"/>
              <w:ind w:left="100" w:right="100"/>
            </w:pPr>
            <w:r>
              <w:rPr>
                <w:rFonts w:ascii="Arial" w:eastAsia="Arial" w:hAnsi="Arial" w:cs="Arial"/>
                <w:color w:val="000000"/>
                <w:sz w:val="20"/>
                <w:szCs w:val="20"/>
              </w:rPr>
              <w:t>270 (54, 301)</w:t>
            </w:r>
          </w:p>
        </w:tc>
        <w:tc>
          <w:tcPr>
            <w:tcW w:w="1800" w:type="dxa"/>
            <w:shd w:val="clear" w:color="auto" w:fill="EFEFEF"/>
            <w:tcMar>
              <w:top w:w="0" w:type="dxa"/>
              <w:left w:w="0" w:type="dxa"/>
              <w:bottom w:w="0" w:type="dxa"/>
              <w:right w:w="0" w:type="dxa"/>
            </w:tcMar>
            <w:vAlign w:val="center"/>
          </w:tcPr>
          <w:p w14:paraId="2016CB44" w14:textId="77777777" w:rsidR="001F2076" w:rsidRDefault="007F3B32">
            <w:pPr>
              <w:spacing w:before="100" w:after="100"/>
              <w:ind w:left="100" w:right="100"/>
            </w:pPr>
            <w:r>
              <w:rPr>
                <w:rFonts w:ascii="Arial" w:eastAsia="Arial" w:hAnsi="Arial" w:cs="Arial"/>
                <w:color w:val="000000"/>
                <w:sz w:val="20"/>
                <w:szCs w:val="20"/>
              </w:rPr>
              <w:t>1,170 (2, 173)</w:t>
            </w:r>
          </w:p>
        </w:tc>
        <w:tc>
          <w:tcPr>
            <w:tcW w:w="1800" w:type="dxa"/>
            <w:shd w:val="clear" w:color="auto" w:fill="EFEFEF"/>
            <w:tcMar>
              <w:top w:w="0" w:type="dxa"/>
              <w:left w:w="0" w:type="dxa"/>
              <w:bottom w:w="0" w:type="dxa"/>
              <w:right w:w="0" w:type="dxa"/>
            </w:tcMar>
            <w:vAlign w:val="center"/>
          </w:tcPr>
          <w:p w14:paraId="2580B1CB" w14:textId="77777777" w:rsidR="001F2076" w:rsidRDefault="007F3B32">
            <w:pPr>
              <w:spacing w:before="100" w:after="100"/>
              <w:ind w:left="100" w:right="100"/>
            </w:pPr>
            <w:r>
              <w:rPr>
                <w:rFonts w:ascii="Arial" w:eastAsia="Arial" w:hAnsi="Arial" w:cs="Arial"/>
                <w:color w:val="000000"/>
                <w:sz w:val="20"/>
                <w:szCs w:val="20"/>
              </w:rPr>
              <w:t>256 (31, 231)</w:t>
            </w:r>
          </w:p>
        </w:tc>
      </w:tr>
      <w:tr w:rsidR="001F2076" w14:paraId="52B812D7" w14:textId="77777777">
        <w:trPr>
          <w:cantSplit/>
          <w:jc w:val="center"/>
        </w:trPr>
        <w:tc>
          <w:tcPr>
            <w:tcW w:w="1800" w:type="dxa"/>
            <w:shd w:val="clear" w:color="auto" w:fill="FFFFFF"/>
            <w:tcMar>
              <w:top w:w="0" w:type="dxa"/>
              <w:left w:w="0" w:type="dxa"/>
              <w:bottom w:w="0" w:type="dxa"/>
              <w:right w:w="0" w:type="dxa"/>
            </w:tcMar>
          </w:tcPr>
          <w:p w14:paraId="65424AAB"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3B37730A" w14:textId="77777777"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14:paraId="59451635" w14:textId="77777777"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14:paraId="4A71C559" w14:textId="77777777"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14:paraId="09ACB5DC" w14:textId="77777777"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14:paraId="41C97A2F" w14:textId="77777777"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14:paraId="69613EEE" w14:textId="77777777" w:rsidR="001F2076" w:rsidRDefault="007F3B32">
            <w:pPr>
              <w:spacing w:before="100" w:after="100"/>
              <w:ind w:left="100" w:right="100"/>
            </w:pPr>
            <w:r>
              <w:rPr>
                <w:rFonts w:ascii="Arial" w:eastAsia="Arial" w:hAnsi="Arial" w:cs="Arial"/>
                <w:color w:val="000000"/>
                <w:sz w:val="20"/>
                <w:szCs w:val="20"/>
              </w:rPr>
              <w:t>0</w:t>
            </w:r>
          </w:p>
        </w:tc>
      </w:tr>
      <w:tr w:rsidR="001F2076" w14:paraId="4CA4A614" w14:textId="77777777">
        <w:trPr>
          <w:cantSplit/>
          <w:jc w:val="center"/>
        </w:trPr>
        <w:tc>
          <w:tcPr>
            <w:tcW w:w="1800" w:type="dxa"/>
            <w:shd w:val="clear" w:color="auto" w:fill="EFEFEF"/>
            <w:tcMar>
              <w:top w:w="0" w:type="dxa"/>
              <w:left w:w="0" w:type="dxa"/>
              <w:bottom w:w="0" w:type="dxa"/>
              <w:right w:w="0" w:type="dxa"/>
            </w:tcMar>
          </w:tcPr>
          <w:p w14:paraId="7AB7AEE6" w14:textId="77777777" w:rsidR="001F2076" w:rsidRDefault="007F3B32">
            <w:pPr>
              <w:spacing w:before="100" w:after="100"/>
              <w:ind w:left="100" w:right="100"/>
            </w:pPr>
            <w:r>
              <w:rPr>
                <w:rFonts w:ascii="Arial" w:eastAsia="Arial" w:hAnsi="Arial" w:cs="Arial"/>
                <w:color w:val="000000"/>
                <w:sz w:val="20"/>
                <w:szCs w:val="20"/>
              </w:rPr>
              <w:t xml:space="preserve">CSF </w:t>
            </w:r>
            <w:proofErr w:type="spellStart"/>
            <w:r>
              <w:rPr>
                <w:rFonts w:ascii="Arial" w:eastAsia="Arial" w:hAnsi="Arial" w:cs="Arial"/>
                <w:color w:val="000000"/>
                <w:sz w:val="20"/>
                <w:szCs w:val="20"/>
              </w:rPr>
              <w:t>Oeosinophil</w:t>
            </w:r>
            <w:proofErr w:type="spellEnd"/>
            <w:r>
              <w:rPr>
                <w:rFonts w:ascii="Arial" w:eastAsia="Arial" w:hAnsi="Arial" w:cs="Arial"/>
                <w:color w:val="000000"/>
                <w:sz w:val="20"/>
                <w:szCs w:val="20"/>
              </w:rPr>
              <w:t xml:space="preserve"> Count</w:t>
            </w:r>
          </w:p>
        </w:tc>
        <w:tc>
          <w:tcPr>
            <w:tcW w:w="1800" w:type="dxa"/>
            <w:shd w:val="clear" w:color="auto" w:fill="EFEFEF"/>
            <w:tcMar>
              <w:top w:w="0" w:type="dxa"/>
              <w:left w:w="0" w:type="dxa"/>
              <w:bottom w:w="0" w:type="dxa"/>
              <w:right w:w="0" w:type="dxa"/>
            </w:tcMar>
            <w:vAlign w:val="center"/>
          </w:tcPr>
          <w:p w14:paraId="73BDA3DD" w14:textId="77777777" w:rsidR="001F2076" w:rsidRDefault="007F3B32">
            <w:pPr>
              <w:spacing w:before="100" w:after="100"/>
              <w:ind w:left="100" w:right="100"/>
            </w:pPr>
            <w:r>
              <w:rPr>
                <w:rFonts w:ascii="Arial" w:eastAsia="Arial" w:hAnsi="Arial" w:cs="Arial"/>
                <w:color w:val="000000"/>
                <w:sz w:val="20"/>
                <w:szCs w:val="20"/>
              </w:rPr>
              <w:t>8 (0, 0)</w:t>
            </w:r>
          </w:p>
        </w:tc>
        <w:tc>
          <w:tcPr>
            <w:tcW w:w="1800" w:type="dxa"/>
            <w:shd w:val="clear" w:color="auto" w:fill="EFEFEF"/>
            <w:tcMar>
              <w:top w:w="0" w:type="dxa"/>
              <w:left w:w="0" w:type="dxa"/>
              <w:bottom w:w="0" w:type="dxa"/>
              <w:right w:w="0" w:type="dxa"/>
            </w:tcMar>
            <w:vAlign w:val="center"/>
          </w:tcPr>
          <w:p w14:paraId="4D444E4B" w14:textId="77777777" w:rsidR="001F2076" w:rsidRDefault="007F3B32">
            <w:pPr>
              <w:spacing w:before="100" w:after="100"/>
              <w:ind w:left="100" w:right="100"/>
            </w:pPr>
            <w:r>
              <w:rPr>
                <w:rFonts w:ascii="Arial" w:eastAsia="Arial" w:hAnsi="Arial" w:cs="Arial"/>
                <w:color w:val="000000"/>
                <w:sz w:val="20"/>
                <w:szCs w:val="20"/>
              </w:rPr>
              <w:t>0 (0, 0)</w:t>
            </w:r>
          </w:p>
        </w:tc>
        <w:tc>
          <w:tcPr>
            <w:tcW w:w="1800" w:type="dxa"/>
            <w:shd w:val="clear" w:color="auto" w:fill="EFEFEF"/>
            <w:tcMar>
              <w:top w:w="0" w:type="dxa"/>
              <w:left w:w="0" w:type="dxa"/>
              <w:bottom w:w="0" w:type="dxa"/>
              <w:right w:w="0" w:type="dxa"/>
            </w:tcMar>
            <w:vAlign w:val="center"/>
          </w:tcPr>
          <w:p w14:paraId="507C7A92" w14:textId="77777777" w:rsidR="001F2076" w:rsidRDefault="007F3B32">
            <w:pPr>
              <w:spacing w:before="100" w:after="100"/>
              <w:ind w:left="100" w:right="100"/>
            </w:pPr>
            <w:r>
              <w:rPr>
                <w:rFonts w:ascii="Arial" w:eastAsia="Arial" w:hAnsi="Arial" w:cs="Arial"/>
                <w:color w:val="000000"/>
                <w:sz w:val="20"/>
                <w:szCs w:val="20"/>
              </w:rPr>
              <w:t>8 (0, 0)</w:t>
            </w:r>
          </w:p>
        </w:tc>
        <w:tc>
          <w:tcPr>
            <w:tcW w:w="1800" w:type="dxa"/>
            <w:shd w:val="clear" w:color="auto" w:fill="EFEFEF"/>
            <w:tcMar>
              <w:top w:w="0" w:type="dxa"/>
              <w:left w:w="0" w:type="dxa"/>
              <w:bottom w:w="0" w:type="dxa"/>
              <w:right w:w="0" w:type="dxa"/>
            </w:tcMar>
            <w:vAlign w:val="center"/>
          </w:tcPr>
          <w:p w14:paraId="52771F62" w14:textId="77777777" w:rsidR="001F2076" w:rsidRDefault="007F3B32">
            <w:pPr>
              <w:spacing w:before="100" w:after="100"/>
              <w:ind w:left="100" w:right="100"/>
            </w:pPr>
            <w:r>
              <w:rPr>
                <w:rFonts w:ascii="Arial" w:eastAsia="Arial" w:hAnsi="Arial" w:cs="Arial"/>
                <w:color w:val="000000"/>
                <w:sz w:val="20"/>
                <w:szCs w:val="20"/>
              </w:rPr>
              <w:t>0 (0, 0)</w:t>
            </w:r>
          </w:p>
        </w:tc>
        <w:tc>
          <w:tcPr>
            <w:tcW w:w="1800" w:type="dxa"/>
            <w:shd w:val="clear" w:color="auto" w:fill="EFEFEF"/>
            <w:tcMar>
              <w:top w:w="0" w:type="dxa"/>
              <w:left w:w="0" w:type="dxa"/>
              <w:bottom w:w="0" w:type="dxa"/>
              <w:right w:w="0" w:type="dxa"/>
            </w:tcMar>
            <w:vAlign w:val="center"/>
          </w:tcPr>
          <w:p w14:paraId="3EFBE578" w14:textId="77777777" w:rsidR="001F2076" w:rsidRDefault="007F3B32">
            <w:pPr>
              <w:spacing w:before="100" w:after="100"/>
              <w:ind w:left="100" w:right="100"/>
            </w:pPr>
            <w:r>
              <w:rPr>
                <w:rFonts w:ascii="Arial" w:eastAsia="Arial" w:hAnsi="Arial" w:cs="Arial"/>
                <w:color w:val="000000"/>
                <w:sz w:val="20"/>
                <w:szCs w:val="20"/>
              </w:rPr>
              <w:t>8 (0, 0)</w:t>
            </w:r>
          </w:p>
        </w:tc>
        <w:tc>
          <w:tcPr>
            <w:tcW w:w="1800" w:type="dxa"/>
            <w:shd w:val="clear" w:color="auto" w:fill="EFEFEF"/>
            <w:tcMar>
              <w:top w:w="0" w:type="dxa"/>
              <w:left w:w="0" w:type="dxa"/>
              <w:bottom w:w="0" w:type="dxa"/>
              <w:right w:w="0" w:type="dxa"/>
            </w:tcMar>
            <w:vAlign w:val="center"/>
          </w:tcPr>
          <w:p w14:paraId="609EF187" w14:textId="77777777" w:rsidR="001F2076" w:rsidRDefault="007F3B32">
            <w:pPr>
              <w:spacing w:before="100" w:after="100"/>
              <w:ind w:left="100" w:right="100"/>
            </w:pPr>
            <w:r>
              <w:rPr>
                <w:rFonts w:ascii="Arial" w:eastAsia="Arial" w:hAnsi="Arial" w:cs="Arial"/>
                <w:color w:val="000000"/>
                <w:sz w:val="20"/>
                <w:szCs w:val="20"/>
              </w:rPr>
              <w:t>0 (0, 0)</w:t>
            </w:r>
          </w:p>
        </w:tc>
      </w:tr>
      <w:tr w:rsidR="001F2076" w14:paraId="0412681C" w14:textId="77777777">
        <w:trPr>
          <w:cantSplit/>
          <w:jc w:val="center"/>
        </w:trPr>
        <w:tc>
          <w:tcPr>
            <w:tcW w:w="1800" w:type="dxa"/>
            <w:shd w:val="clear" w:color="auto" w:fill="FFFFFF"/>
            <w:tcMar>
              <w:top w:w="0" w:type="dxa"/>
              <w:left w:w="0" w:type="dxa"/>
              <w:bottom w:w="0" w:type="dxa"/>
              <w:right w:w="0" w:type="dxa"/>
            </w:tcMar>
          </w:tcPr>
          <w:p w14:paraId="63842588"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5FA0AB32"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FFFFFF"/>
            <w:tcMar>
              <w:top w:w="0" w:type="dxa"/>
              <w:left w:w="0" w:type="dxa"/>
              <w:bottom w:w="0" w:type="dxa"/>
              <w:right w:w="0" w:type="dxa"/>
            </w:tcMar>
            <w:vAlign w:val="center"/>
          </w:tcPr>
          <w:p w14:paraId="31D4805F" w14:textId="77777777"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14:paraId="404D82DF"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FFFFFF"/>
            <w:tcMar>
              <w:top w:w="0" w:type="dxa"/>
              <w:left w:w="0" w:type="dxa"/>
              <w:bottom w:w="0" w:type="dxa"/>
              <w:right w:w="0" w:type="dxa"/>
            </w:tcMar>
            <w:vAlign w:val="center"/>
          </w:tcPr>
          <w:p w14:paraId="78A26DFD" w14:textId="77777777"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14:paraId="0A627FF8"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FFFFFF"/>
            <w:tcMar>
              <w:top w:w="0" w:type="dxa"/>
              <w:left w:w="0" w:type="dxa"/>
              <w:bottom w:w="0" w:type="dxa"/>
              <w:right w:w="0" w:type="dxa"/>
            </w:tcMar>
            <w:vAlign w:val="center"/>
          </w:tcPr>
          <w:p w14:paraId="7FD406B6" w14:textId="77777777" w:rsidR="001F2076" w:rsidRDefault="007F3B32">
            <w:pPr>
              <w:spacing w:before="100" w:after="100"/>
              <w:ind w:left="100" w:right="100"/>
            </w:pPr>
            <w:r>
              <w:rPr>
                <w:rFonts w:ascii="Arial" w:eastAsia="Arial" w:hAnsi="Arial" w:cs="Arial"/>
                <w:color w:val="000000"/>
                <w:sz w:val="20"/>
                <w:szCs w:val="20"/>
              </w:rPr>
              <w:t>0</w:t>
            </w:r>
          </w:p>
        </w:tc>
      </w:tr>
      <w:tr w:rsidR="001F2076" w14:paraId="6B2C8AC3" w14:textId="77777777">
        <w:trPr>
          <w:cantSplit/>
          <w:jc w:val="center"/>
        </w:trPr>
        <w:tc>
          <w:tcPr>
            <w:tcW w:w="1800" w:type="dxa"/>
            <w:shd w:val="clear" w:color="auto" w:fill="EFEFEF"/>
            <w:tcMar>
              <w:top w:w="0" w:type="dxa"/>
              <w:left w:w="0" w:type="dxa"/>
              <w:bottom w:w="0" w:type="dxa"/>
              <w:right w:w="0" w:type="dxa"/>
            </w:tcMar>
          </w:tcPr>
          <w:p w14:paraId="5130B48A" w14:textId="77777777" w:rsidR="001F2076" w:rsidRDefault="007F3B32">
            <w:pPr>
              <w:spacing w:before="100" w:after="100"/>
              <w:ind w:left="100" w:right="100"/>
            </w:pPr>
            <w:r>
              <w:rPr>
                <w:rFonts w:ascii="Arial" w:eastAsia="Arial" w:hAnsi="Arial" w:cs="Arial"/>
                <w:color w:val="000000"/>
                <w:sz w:val="20"/>
                <w:szCs w:val="20"/>
              </w:rPr>
              <w:t>CSF Red blood cell Count</w:t>
            </w:r>
          </w:p>
        </w:tc>
        <w:tc>
          <w:tcPr>
            <w:tcW w:w="1800" w:type="dxa"/>
            <w:shd w:val="clear" w:color="auto" w:fill="EFEFEF"/>
            <w:tcMar>
              <w:top w:w="0" w:type="dxa"/>
              <w:left w:w="0" w:type="dxa"/>
              <w:bottom w:w="0" w:type="dxa"/>
              <w:right w:w="0" w:type="dxa"/>
            </w:tcMar>
            <w:vAlign w:val="center"/>
          </w:tcPr>
          <w:p w14:paraId="548AFF14" w14:textId="77777777" w:rsidR="001F2076" w:rsidRDefault="007F3B32">
            <w:pPr>
              <w:spacing w:before="100" w:after="100"/>
              <w:ind w:left="100" w:right="100"/>
            </w:pPr>
            <w:r>
              <w:rPr>
                <w:rFonts w:ascii="Arial" w:eastAsia="Arial" w:hAnsi="Arial" w:cs="Arial"/>
                <w:color w:val="000000"/>
                <w:sz w:val="20"/>
                <w:szCs w:val="20"/>
              </w:rPr>
              <w:t>1,649 (0, 700)</w:t>
            </w:r>
          </w:p>
        </w:tc>
        <w:tc>
          <w:tcPr>
            <w:tcW w:w="1800" w:type="dxa"/>
            <w:shd w:val="clear" w:color="auto" w:fill="EFEFEF"/>
            <w:tcMar>
              <w:top w:w="0" w:type="dxa"/>
              <w:left w:w="0" w:type="dxa"/>
              <w:bottom w:w="0" w:type="dxa"/>
              <w:right w:w="0" w:type="dxa"/>
            </w:tcMar>
            <w:vAlign w:val="center"/>
          </w:tcPr>
          <w:p w14:paraId="73688026" w14:textId="77777777" w:rsidR="001F2076" w:rsidRDefault="007F3B32">
            <w:pPr>
              <w:spacing w:before="100" w:after="100"/>
              <w:ind w:left="100" w:right="100"/>
            </w:pPr>
            <w:r>
              <w:rPr>
                <w:rFonts w:ascii="Arial" w:eastAsia="Arial" w:hAnsi="Arial" w:cs="Arial"/>
                <w:color w:val="000000"/>
                <w:sz w:val="20"/>
                <w:szCs w:val="20"/>
              </w:rPr>
              <w:t>1,439 (0, 132)</w:t>
            </w:r>
          </w:p>
        </w:tc>
        <w:tc>
          <w:tcPr>
            <w:tcW w:w="1800" w:type="dxa"/>
            <w:shd w:val="clear" w:color="auto" w:fill="EFEFEF"/>
            <w:tcMar>
              <w:top w:w="0" w:type="dxa"/>
              <w:left w:w="0" w:type="dxa"/>
              <w:bottom w:w="0" w:type="dxa"/>
              <w:right w:w="0" w:type="dxa"/>
            </w:tcMar>
            <w:vAlign w:val="center"/>
          </w:tcPr>
          <w:p w14:paraId="0B092280" w14:textId="77777777" w:rsidR="001F2076" w:rsidRDefault="007F3B32">
            <w:pPr>
              <w:spacing w:before="100" w:after="100"/>
              <w:ind w:left="100" w:right="100"/>
            </w:pPr>
            <w:r>
              <w:rPr>
                <w:rFonts w:ascii="Arial" w:eastAsia="Arial" w:hAnsi="Arial" w:cs="Arial"/>
                <w:color w:val="000000"/>
                <w:sz w:val="20"/>
                <w:szCs w:val="20"/>
              </w:rPr>
              <w:t>1,721 (0, 700)</w:t>
            </w:r>
          </w:p>
        </w:tc>
        <w:tc>
          <w:tcPr>
            <w:tcW w:w="1800" w:type="dxa"/>
            <w:shd w:val="clear" w:color="auto" w:fill="EFEFEF"/>
            <w:tcMar>
              <w:top w:w="0" w:type="dxa"/>
              <w:left w:w="0" w:type="dxa"/>
              <w:bottom w:w="0" w:type="dxa"/>
              <w:right w:w="0" w:type="dxa"/>
            </w:tcMar>
            <w:vAlign w:val="center"/>
          </w:tcPr>
          <w:p w14:paraId="787D432A" w14:textId="77777777" w:rsidR="001F2076" w:rsidRDefault="007F3B32">
            <w:pPr>
              <w:spacing w:before="100" w:after="100"/>
              <w:ind w:left="100" w:right="100"/>
            </w:pPr>
            <w:r>
              <w:rPr>
                <w:rFonts w:ascii="Arial" w:eastAsia="Arial" w:hAnsi="Arial" w:cs="Arial"/>
                <w:color w:val="000000"/>
                <w:sz w:val="20"/>
                <w:szCs w:val="20"/>
              </w:rPr>
              <w:t>787 (0, 87)</w:t>
            </w:r>
          </w:p>
        </w:tc>
        <w:tc>
          <w:tcPr>
            <w:tcW w:w="1800" w:type="dxa"/>
            <w:shd w:val="clear" w:color="auto" w:fill="EFEFEF"/>
            <w:tcMar>
              <w:top w:w="0" w:type="dxa"/>
              <w:left w:w="0" w:type="dxa"/>
              <w:bottom w:w="0" w:type="dxa"/>
              <w:right w:w="0" w:type="dxa"/>
            </w:tcMar>
            <w:vAlign w:val="center"/>
          </w:tcPr>
          <w:p w14:paraId="7886AB13" w14:textId="77777777" w:rsidR="001F2076" w:rsidRDefault="007F3B32">
            <w:pPr>
              <w:spacing w:before="100" w:after="100"/>
              <w:ind w:left="100" w:right="100"/>
            </w:pPr>
            <w:r>
              <w:rPr>
                <w:rFonts w:ascii="Arial" w:eastAsia="Arial" w:hAnsi="Arial" w:cs="Arial"/>
                <w:color w:val="000000"/>
                <w:sz w:val="20"/>
                <w:szCs w:val="20"/>
              </w:rPr>
              <w:t>1,861 (0, 1,000)</w:t>
            </w:r>
          </w:p>
        </w:tc>
        <w:tc>
          <w:tcPr>
            <w:tcW w:w="1800" w:type="dxa"/>
            <w:shd w:val="clear" w:color="auto" w:fill="EFEFEF"/>
            <w:tcMar>
              <w:top w:w="0" w:type="dxa"/>
              <w:left w:w="0" w:type="dxa"/>
              <w:bottom w:w="0" w:type="dxa"/>
              <w:right w:w="0" w:type="dxa"/>
            </w:tcMar>
            <w:vAlign w:val="center"/>
          </w:tcPr>
          <w:p w14:paraId="615DEBD1" w14:textId="77777777" w:rsidR="001F2076" w:rsidRDefault="007F3B32">
            <w:pPr>
              <w:spacing w:before="100" w:after="100"/>
              <w:ind w:left="100" w:right="100"/>
            </w:pPr>
            <w:r>
              <w:rPr>
                <w:rFonts w:ascii="Arial" w:eastAsia="Arial" w:hAnsi="Arial" w:cs="Arial"/>
                <w:color w:val="000000"/>
                <w:sz w:val="20"/>
                <w:szCs w:val="20"/>
              </w:rPr>
              <w:t>620 (2, 80)</w:t>
            </w:r>
          </w:p>
        </w:tc>
      </w:tr>
      <w:tr w:rsidR="001F2076" w14:paraId="5DE3624B" w14:textId="77777777">
        <w:trPr>
          <w:cantSplit/>
          <w:jc w:val="center"/>
        </w:trPr>
        <w:tc>
          <w:tcPr>
            <w:tcW w:w="1800" w:type="dxa"/>
            <w:shd w:val="clear" w:color="auto" w:fill="FFFFFF"/>
            <w:tcMar>
              <w:top w:w="0" w:type="dxa"/>
              <w:left w:w="0" w:type="dxa"/>
              <w:bottom w:w="0" w:type="dxa"/>
              <w:right w:w="0" w:type="dxa"/>
            </w:tcMar>
          </w:tcPr>
          <w:p w14:paraId="26D452E0" w14:textId="77777777" w:rsidR="001F2076" w:rsidRDefault="007F3B32">
            <w:pPr>
              <w:spacing w:before="100" w:after="100"/>
              <w:ind w:left="100" w:right="100"/>
            </w:pPr>
            <w:r>
              <w:rPr>
                <w:rFonts w:ascii="Arial" w:eastAsia="Arial" w:hAnsi="Arial" w:cs="Arial"/>
                <w:color w:val="000000"/>
                <w:sz w:val="20"/>
                <w:szCs w:val="20"/>
              </w:rPr>
              <w:lastRenderedPageBreak/>
              <w:t>CSF Protein</w:t>
            </w:r>
          </w:p>
        </w:tc>
        <w:tc>
          <w:tcPr>
            <w:tcW w:w="1800" w:type="dxa"/>
            <w:shd w:val="clear" w:color="auto" w:fill="FFFFFF"/>
            <w:tcMar>
              <w:top w:w="0" w:type="dxa"/>
              <w:left w:w="0" w:type="dxa"/>
              <w:bottom w:w="0" w:type="dxa"/>
              <w:right w:w="0" w:type="dxa"/>
            </w:tcMar>
            <w:vAlign w:val="center"/>
          </w:tcPr>
          <w:p w14:paraId="3A7C34EA" w14:textId="77777777" w:rsidR="001F2076" w:rsidRDefault="007F3B32">
            <w:pPr>
              <w:spacing w:before="100" w:after="100"/>
              <w:ind w:left="100" w:right="100"/>
            </w:pPr>
            <w:r>
              <w:rPr>
                <w:rFonts w:ascii="Arial" w:eastAsia="Arial" w:hAnsi="Arial" w:cs="Arial"/>
                <w:color w:val="000000"/>
                <w:sz w:val="20"/>
                <w:szCs w:val="20"/>
              </w:rPr>
              <w:t>1.74 (0.42, 1.97)</w:t>
            </w:r>
          </w:p>
        </w:tc>
        <w:tc>
          <w:tcPr>
            <w:tcW w:w="1800" w:type="dxa"/>
            <w:shd w:val="clear" w:color="auto" w:fill="FFFFFF"/>
            <w:tcMar>
              <w:top w:w="0" w:type="dxa"/>
              <w:left w:w="0" w:type="dxa"/>
              <w:bottom w:w="0" w:type="dxa"/>
              <w:right w:w="0" w:type="dxa"/>
            </w:tcMar>
            <w:vAlign w:val="center"/>
          </w:tcPr>
          <w:p w14:paraId="4A06D12B" w14:textId="77777777" w:rsidR="001F2076" w:rsidRDefault="007F3B32">
            <w:pPr>
              <w:spacing w:before="100" w:after="100"/>
              <w:ind w:left="100" w:right="100"/>
            </w:pPr>
            <w:r>
              <w:rPr>
                <w:rFonts w:ascii="Arial" w:eastAsia="Arial" w:hAnsi="Arial" w:cs="Arial"/>
                <w:color w:val="000000"/>
                <w:sz w:val="20"/>
                <w:szCs w:val="20"/>
              </w:rPr>
              <w:t>2.39 (1.34, 2.43)</w:t>
            </w:r>
          </w:p>
        </w:tc>
        <w:tc>
          <w:tcPr>
            <w:tcW w:w="1800" w:type="dxa"/>
            <w:shd w:val="clear" w:color="auto" w:fill="FFFFFF"/>
            <w:tcMar>
              <w:top w:w="0" w:type="dxa"/>
              <w:left w:w="0" w:type="dxa"/>
              <w:bottom w:w="0" w:type="dxa"/>
              <w:right w:w="0" w:type="dxa"/>
            </w:tcMar>
            <w:vAlign w:val="center"/>
          </w:tcPr>
          <w:p w14:paraId="02934880" w14:textId="77777777" w:rsidR="001F2076" w:rsidRDefault="007F3B32">
            <w:pPr>
              <w:spacing w:before="100" w:after="100"/>
              <w:ind w:left="100" w:right="100"/>
            </w:pPr>
            <w:r>
              <w:rPr>
                <w:rFonts w:ascii="Arial" w:eastAsia="Arial" w:hAnsi="Arial" w:cs="Arial"/>
                <w:color w:val="000000"/>
                <w:sz w:val="20"/>
                <w:szCs w:val="20"/>
              </w:rPr>
              <w:t>1.69 (0.43, 1.99)</w:t>
            </w:r>
          </w:p>
        </w:tc>
        <w:tc>
          <w:tcPr>
            <w:tcW w:w="1800" w:type="dxa"/>
            <w:shd w:val="clear" w:color="auto" w:fill="FFFFFF"/>
            <w:tcMar>
              <w:top w:w="0" w:type="dxa"/>
              <w:left w:w="0" w:type="dxa"/>
              <w:bottom w:w="0" w:type="dxa"/>
              <w:right w:w="0" w:type="dxa"/>
            </w:tcMar>
            <w:vAlign w:val="center"/>
          </w:tcPr>
          <w:p w14:paraId="6750FCDC" w14:textId="77777777" w:rsidR="001F2076" w:rsidRDefault="007F3B32">
            <w:pPr>
              <w:spacing w:before="100" w:after="100"/>
              <w:ind w:left="100" w:right="100"/>
            </w:pPr>
            <w:r>
              <w:rPr>
                <w:rFonts w:ascii="Arial" w:eastAsia="Arial" w:hAnsi="Arial" w:cs="Arial"/>
                <w:color w:val="000000"/>
                <w:sz w:val="20"/>
                <w:szCs w:val="20"/>
              </w:rPr>
              <w:t>3.00 (1.52, 2.35)</w:t>
            </w:r>
          </w:p>
        </w:tc>
        <w:tc>
          <w:tcPr>
            <w:tcW w:w="1800" w:type="dxa"/>
            <w:shd w:val="clear" w:color="auto" w:fill="FFFFFF"/>
            <w:tcMar>
              <w:top w:w="0" w:type="dxa"/>
              <w:left w:w="0" w:type="dxa"/>
              <w:bottom w:w="0" w:type="dxa"/>
              <w:right w:w="0" w:type="dxa"/>
            </w:tcMar>
            <w:vAlign w:val="center"/>
          </w:tcPr>
          <w:p w14:paraId="29018421" w14:textId="77777777" w:rsidR="001F2076" w:rsidRDefault="007F3B32">
            <w:pPr>
              <w:spacing w:before="100" w:after="100"/>
              <w:ind w:left="100" w:right="100"/>
            </w:pPr>
            <w:r>
              <w:rPr>
                <w:rFonts w:ascii="Arial" w:eastAsia="Arial" w:hAnsi="Arial" w:cs="Arial"/>
                <w:color w:val="000000"/>
                <w:sz w:val="20"/>
                <w:szCs w:val="20"/>
              </w:rPr>
              <w:t>1.65 (0.41, 1.90)</w:t>
            </w:r>
          </w:p>
        </w:tc>
        <w:tc>
          <w:tcPr>
            <w:tcW w:w="1800" w:type="dxa"/>
            <w:shd w:val="clear" w:color="auto" w:fill="FFFFFF"/>
            <w:tcMar>
              <w:top w:w="0" w:type="dxa"/>
              <w:left w:w="0" w:type="dxa"/>
              <w:bottom w:w="0" w:type="dxa"/>
              <w:right w:w="0" w:type="dxa"/>
            </w:tcMar>
            <w:vAlign w:val="center"/>
          </w:tcPr>
          <w:p w14:paraId="3A36A84D" w14:textId="77777777" w:rsidR="001F2076" w:rsidRDefault="007F3B32">
            <w:pPr>
              <w:spacing w:before="100" w:after="100"/>
              <w:ind w:left="100" w:right="100"/>
            </w:pPr>
            <w:r>
              <w:rPr>
                <w:rFonts w:ascii="Arial" w:eastAsia="Arial" w:hAnsi="Arial" w:cs="Arial"/>
                <w:color w:val="000000"/>
                <w:sz w:val="20"/>
                <w:szCs w:val="20"/>
              </w:rPr>
              <w:t>2.57 (1.21, 2.43)</w:t>
            </w:r>
          </w:p>
        </w:tc>
      </w:tr>
      <w:tr w:rsidR="001F2076" w14:paraId="030F97BB" w14:textId="77777777">
        <w:trPr>
          <w:cantSplit/>
          <w:jc w:val="center"/>
        </w:trPr>
        <w:tc>
          <w:tcPr>
            <w:tcW w:w="1800" w:type="dxa"/>
            <w:shd w:val="clear" w:color="auto" w:fill="EFEFEF"/>
            <w:tcMar>
              <w:top w:w="0" w:type="dxa"/>
              <w:left w:w="0" w:type="dxa"/>
              <w:bottom w:w="0" w:type="dxa"/>
              <w:right w:w="0" w:type="dxa"/>
            </w:tcMar>
          </w:tcPr>
          <w:p w14:paraId="773ECCA8"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3F3E3B13"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516D0D0F"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5F9AEB63"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5545273B"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58FEDC59"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44581AF9" w14:textId="77777777" w:rsidR="001F2076" w:rsidRDefault="007F3B32">
            <w:pPr>
              <w:spacing w:before="100" w:after="100"/>
              <w:ind w:left="100" w:right="100"/>
            </w:pPr>
            <w:r>
              <w:rPr>
                <w:rFonts w:ascii="Arial" w:eastAsia="Arial" w:hAnsi="Arial" w:cs="Arial"/>
                <w:color w:val="000000"/>
                <w:sz w:val="20"/>
                <w:szCs w:val="20"/>
              </w:rPr>
              <w:t>1</w:t>
            </w:r>
          </w:p>
        </w:tc>
      </w:tr>
      <w:tr w:rsidR="001F2076" w14:paraId="4D6EFD6D" w14:textId="77777777">
        <w:trPr>
          <w:cantSplit/>
          <w:jc w:val="center"/>
        </w:trPr>
        <w:tc>
          <w:tcPr>
            <w:tcW w:w="1800" w:type="dxa"/>
            <w:shd w:val="clear" w:color="auto" w:fill="FFFFFF"/>
            <w:tcMar>
              <w:top w:w="0" w:type="dxa"/>
              <w:left w:w="0" w:type="dxa"/>
              <w:bottom w:w="0" w:type="dxa"/>
              <w:right w:w="0" w:type="dxa"/>
            </w:tcMar>
          </w:tcPr>
          <w:p w14:paraId="083C892C" w14:textId="77777777" w:rsidR="001F2076" w:rsidRDefault="007F3B32">
            <w:pPr>
              <w:spacing w:before="100" w:after="100"/>
              <w:ind w:left="100" w:right="100"/>
            </w:pPr>
            <w:r>
              <w:rPr>
                <w:rFonts w:ascii="Arial" w:eastAsia="Arial" w:hAnsi="Arial" w:cs="Arial"/>
                <w:color w:val="000000"/>
                <w:sz w:val="20"/>
                <w:szCs w:val="20"/>
              </w:rPr>
              <w:t>CSF Lactate</w:t>
            </w:r>
          </w:p>
        </w:tc>
        <w:tc>
          <w:tcPr>
            <w:tcW w:w="1800" w:type="dxa"/>
            <w:shd w:val="clear" w:color="auto" w:fill="FFFFFF"/>
            <w:tcMar>
              <w:top w:w="0" w:type="dxa"/>
              <w:left w:w="0" w:type="dxa"/>
              <w:bottom w:w="0" w:type="dxa"/>
              <w:right w:w="0" w:type="dxa"/>
            </w:tcMar>
            <w:vAlign w:val="center"/>
          </w:tcPr>
          <w:p w14:paraId="15672538" w14:textId="77777777" w:rsidR="001F2076" w:rsidRDefault="007F3B32">
            <w:pPr>
              <w:spacing w:before="100" w:after="100"/>
              <w:ind w:left="100" w:right="100"/>
            </w:pPr>
            <w:r>
              <w:rPr>
                <w:rFonts w:ascii="Arial" w:eastAsia="Arial" w:hAnsi="Arial" w:cs="Arial"/>
                <w:color w:val="000000"/>
                <w:sz w:val="20"/>
                <w:szCs w:val="20"/>
              </w:rPr>
              <w:t>5.0 (2.3, 5.4)</w:t>
            </w:r>
          </w:p>
        </w:tc>
        <w:tc>
          <w:tcPr>
            <w:tcW w:w="1800" w:type="dxa"/>
            <w:shd w:val="clear" w:color="auto" w:fill="FFFFFF"/>
            <w:tcMar>
              <w:top w:w="0" w:type="dxa"/>
              <w:left w:w="0" w:type="dxa"/>
              <w:bottom w:w="0" w:type="dxa"/>
              <w:right w:w="0" w:type="dxa"/>
            </w:tcMar>
            <w:vAlign w:val="center"/>
          </w:tcPr>
          <w:p w14:paraId="310BA3B6" w14:textId="77777777" w:rsidR="001F2076" w:rsidRDefault="007F3B32">
            <w:pPr>
              <w:spacing w:before="100" w:after="100"/>
              <w:ind w:left="100" w:right="100"/>
            </w:pPr>
            <w:r>
              <w:rPr>
                <w:rFonts w:ascii="Arial" w:eastAsia="Arial" w:hAnsi="Arial" w:cs="Arial"/>
                <w:color w:val="000000"/>
                <w:sz w:val="20"/>
                <w:szCs w:val="20"/>
              </w:rPr>
              <w:t>6.5 (4.5, 8.1)</w:t>
            </w:r>
          </w:p>
        </w:tc>
        <w:tc>
          <w:tcPr>
            <w:tcW w:w="1800" w:type="dxa"/>
            <w:shd w:val="clear" w:color="auto" w:fill="FFFFFF"/>
            <w:tcMar>
              <w:top w:w="0" w:type="dxa"/>
              <w:left w:w="0" w:type="dxa"/>
              <w:bottom w:w="0" w:type="dxa"/>
              <w:right w:w="0" w:type="dxa"/>
            </w:tcMar>
            <w:vAlign w:val="center"/>
          </w:tcPr>
          <w:p w14:paraId="2694478F" w14:textId="77777777" w:rsidR="001F2076" w:rsidRDefault="007F3B32">
            <w:pPr>
              <w:spacing w:before="100" w:after="100"/>
              <w:ind w:left="100" w:right="100"/>
            </w:pPr>
            <w:r>
              <w:rPr>
                <w:rFonts w:ascii="Arial" w:eastAsia="Arial" w:hAnsi="Arial" w:cs="Arial"/>
                <w:color w:val="000000"/>
                <w:sz w:val="20"/>
                <w:szCs w:val="20"/>
              </w:rPr>
              <w:t>5.0 (2.3, 5.4)</w:t>
            </w:r>
          </w:p>
        </w:tc>
        <w:tc>
          <w:tcPr>
            <w:tcW w:w="1800" w:type="dxa"/>
            <w:shd w:val="clear" w:color="auto" w:fill="FFFFFF"/>
            <w:tcMar>
              <w:top w:w="0" w:type="dxa"/>
              <w:left w:w="0" w:type="dxa"/>
              <w:bottom w:w="0" w:type="dxa"/>
              <w:right w:w="0" w:type="dxa"/>
            </w:tcMar>
            <w:vAlign w:val="center"/>
          </w:tcPr>
          <w:p w14:paraId="218A1141" w14:textId="77777777" w:rsidR="001F2076" w:rsidRDefault="007F3B32">
            <w:pPr>
              <w:spacing w:before="100" w:after="100"/>
              <w:ind w:left="100" w:right="100"/>
            </w:pPr>
            <w:r>
              <w:rPr>
                <w:rFonts w:ascii="Arial" w:eastAsia="Arial" w:hAnsi="Arial" w:cs="Arial"/>
                <w:color w:val="000000"/>
                <w:sz w:val="20"/>
                <w:szCs w:val="20"/>
              </w:rPr>
              <w:t>6.9 (5.2, 8.3)</w:t>
            </w:r>
          </w:p>
        </w:tc>
        <w:tc>
          <w:tcPr>
            <w:tcW w:w="1800" w:type="dxa"/>
            <w:shd w:val="clear" w:color="auto" w:fill="FFFFFF"/>
            <w:tcMar>
              <w:top w:w="0" w:type="dxa"/>
              <w:left w:w="0" w:type="dxa"/>
              <w:bottom w:w="0" w:type="dxa"/>
              <w:right w:w="0" w:type="dxa"/>
            </w:tcMar>
            <w:vAlign w:val="center"/>
          </w:tcPr>
          <w:p w14:paraId="48C4B3B5" w14:textId="77777777" w:rsidR="001F2076" w:rsidRDefault="007F3B32">
            <w:pPr>
              <w:spacing w:before="100" w:after="100"/>
              <w:ind w:left="100" w:right="100"/>
            </w:pPr>
            <w:r>
              <w:rPr>
                <w:rFonts w:ascii="Arial" w:eastAsia="Arial" w:hAnsi="Arial" w:cs="Arial"/>
                <w:color w:val="000000"/>
                <w:sz w:val="20"/>
                <w:szCs w:val="20"/>
              </w:rPr>
              <w:t>5.0 (2.2, 5.4)</w:t>
            </w:r>
          </w:p>
        </w:tc>
        <w:tc>
          <w:tcPr>
            <w:tcW w:w="1800" w:type="dxa"/>
            <w:shd w:val="clear" w:color="auto" w:fill="FFFFFF"/>
            <w:tcMar>
              <w:top w:w="0" w:type="dxa"/>
              <w:left w:w="0" w:type="dxa"/>
              <w:bottom w:w="0" w:type="dxa"/>
              <w:right w:w="0" w:type="dxa"/>
            </w:tcMar>
            <w:vAlign w:val="center"/>
          </w:tcPr>
          <w:p w14:paraId="3D2EF4B8" w14:textId="77777777" w:rsidR="001F2076" w:rsidRDefault="007F3B32">
            <w:pPr>
              <w:spacing w:before="100" w:after="100"/>
              <w:ind w:left="100" w:right="100"/>
            </w:pPr>
            <w:r>
              <w:rPr>
                <w:rFonts w:ascii="Arial" w:eastAsia="Arial" w:hAnsi="Arial" w:cs="Arial"/>
                <w:color w:val="000000"/>
                <w:sz w:val="20"/>
                <w:szCs w:val="20"/>
              </w:rPr>
              <w:t>5.9 (3.9, 7.8)</w:t>
            </w:r>
          </w:p>
        </w:tc>
      </w:tr>
      <w:tr w:rsidR="001F2076" w14:paraId="5F8C3870" w14:textId="77777777">
        <w:trPr>
          <w:cantSplit/>
          <w:jc w:val="center"/>
        </w:trPr>
        <w:tc>
          <w:tcPr>
            <w:tcW w:w="1800" w:type="dxa"/>
            <w:shd w:val="clear" w:color="auto" w:fill="EFEFEF"/>
            <w:tcMar>
              <w:top w:w="0" w:type="dxa"/>
              <w:left w:w="0" w:type="dxa"/>
              <w:bottom w:w="0" w:type="dxa"/>
              <w:right w:w="0" w:type="dxa"/>
            </w:tcMar>
          </w:tcPr>
          <w:p w14:paraId="35FD1C7C"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4A3A8B60"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4301C2E8" w14:textId="77777777"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EFEFEF"/>
            <w:tcMar>
              <w:top w:w="0" w:type="dxa"/>
              <w:left w:w="0" w:type="dxa"/>
              <w:bottom w:w="0" w:type="dxa"/>
              <w:right w:w="0" w:type="dxa"/>
            </w:tcMar>
            <w:vAlign w:val="center"/>
          </w:tcPr>
          <w:p w14:paraId="359F20BD"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34B7C010" w14:textId="77777777"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EFEFEF"/>
            <w:tcMar>
              <w:top w:w="0" w:type="dxa"/>
              <w:left w:w="0" w:type="dxa"/>
              <w:bottom w:w="0" w:type="dxa"/>
              <w:right w:w="0" w:type="dxa"/>
            </w:tcMar>
            <w:vAlign w:val="center"/>
          </w:tcPr>
          <w:p w14:paraId="084FF1A5"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7DF5F385" w14:textId="77777777" w:rsidR="001F2076" w:rsidRDefault="007F3B32">
            <w:pPr>
              <w:spacing w:before="100" w:after="100"/>
              <w:ind w:left="100" w:right="100"/>
            </w:pPr>
            <w:r>
              <w:rPr>
                <w:rFonts w:ascii="Arial" w:eastAsia="Arial" w:hAnsi="Arial" w:cs="Arial"/>
                <w:color w:val="000000"/>
                <w:sz w:val="20"/>
                <w:szCs w:val="20"/>
              </w:rPr>
              <w:t>0</w:t>
            </w:r>
          </w:p>
        </w:tc>
      </w:tr>
      <w:tr w:rsidR="001F2076" w14:paraId="432A6AEC" w14:textId="77777777">
        <w:trPr>
          <w:cantSplit/>
          <w:jc w:val="center"/>
        </w:trPr>
        <w:tc>
          <w:tcPr>
            <w:tcW w:w="1800" w:type="dxa"/>
            <w:shd w:val="clear" w:color="auto" w:fill="FFFFFF"/>
            <w:tcMar>
              <w:top w:w="0" w:type="dxa"/>
              <w:left w:w="0" w:type="dxa"/>
              <w:bottom w:w="0" w:type="dxa"/>
              <w:right w:w="0" w:type="dxa"/>
            </w:tcMar>
          </w:tcPr>
          <w:p w14:paraId="215E1C19" w14:textId="77777777" w:rsidR="001F2076" w:rsidRDefault="007F3B32">
            <w:pPr>
              <w:spacing w:before="100" w:after="100"/>
              <w:ind w:left="100" w:right="100"/>
            </w:pPr>
            <w:r>
              <w:rPr>
                <w:rFonts w:ascii="Arial" w:eastAsia="Arial" w:hAnsi="Arial" w:cs="Arial"/>
                <w:color w:val="000000"/>
                <w:sz w:val="20"/>
                <w:szCs w:val="20"/>
              </w:rPr>
              <w:t>CSF Glucose</w:t>
            </w:r>
          </w:p>
        </w:tc>
        <w:tc>
          <w:tcPr>
            <w:tcW w:w="1800" w:type="dxa"/>
            <w:shd w:val="clear" w:color="auto" w:fill="FFFFFF"/>
            <w:tcMar>
              <w:top w:w="0" w:type="dxa"/>
              <w:left w:w="0" w:type="dxa"/>
              <w:bottom w:w="0" w:type="dxa"/>
              <w:right w:w="0" w:type="dxa"/>
            </w:tcMar>
            <w:vAlign w:val="center"/>
          </w:tcPr>
          <w:p w14:paraId="3268A4C7" w14:textId="77777777" w:rsidR="001F2076" w:rsidRDefault="007F3B32">
            <w:pPr>
              <w:spacing w:before="100" w:after="100"/>
              <w:ind w:left="100" w:right="100"/>
            </w:pPr>
            <w:r>
              <w:rPr>
                <w:rFonts w:ascii="Arial" w:eastAsia="Arial" w:hAnsi="Arial" w:cs="Arial"/>
                <w:color w:val="000000"/>
                <w:sz w:val="20"/>
                <w:szCs w:val="20"/>
              </w:rPr>
              <w:t>3.43 (2.51, 4.30)</w:t>
            </w:r>
          </w:p>
        </w:tc>
        <w:tc>
          <w:tcPr>
            <w:tcW w:w="1800" w:type="dxa"/>
            <w:shd w:val="clear" w:color="auto" w:fill="FFFFFF"/>
            <w:tcMar>
              <w:top w:w="0" w:type="dxa"/>
              <w:left w:w="0" w:type="dxa"/>
              <w:bottom w:w="0" w:type="dxa"/>
              <w:right w:w="0" w:type="dxa"/>
            </w:tcMar>
            <w:vAlign w:val="center"/>
          </w:tcPr>
          <w:p w14:paraId="73863AE2" w14:textId="77777777" w:rsidR="001F2076" w:rsidRDefault="007F3B32">
            <w:pPr>
              <w:spacing w:before="100" w:after="100"/>
              <w:ind w:left="100" w:right="100"/>
            </w:pPr>
            <w:r>
              <w:rPr>
                <w:rFonts w:ascii="Arial" w:eastAsia="Arial" w:hAnsi="Arial" w:cs="Arial"/>
                <w:color w:val="000000"/>
                <w:sz w:val="20"/>
                <w:szCs w:val="20"/>
              </w:rPr>
              <w:t>2.04 (1.23, 2.46)</w:t>
            </w:r>
          </w:p>
        </w:tc>
        <w:tc>
          <w:tcPr>
            <w:tcW w:w="1800" w:type="dxa"/>
            <w:shd w:val="clear" w:color="auto" w:fill="FFFFFF"/>
            <w:tcMar>
              <w:top w:w="0" w:type="dxa"/>
              <w:left w:w="0" w:type="dxa"/>
              <w:bottom w:w="0" w:type="dxa"/>
              <w:right w:w="0" w:type="dxa"/>
            </w:tcMar>
            <w:vAlign w:val="center"/>
          </w:tcPr>
          <w:p w14:paraId="7F8DF313" w14:textId="77777777" w:rsidR="001F2076" w:rsidRDefault="007F3B32">
            <w:pPr>
              <w:spacing w:before="100" w:after="100"/>
              <w:ind w:left="100" w:right="100"/>
            </w:pPr>
            <w:r>
              <w:rPr>
                <w:rFonts w:ascii="Arial" w:eastAsia="Arial" w:hAnsi="Arial" w:cs="Arial"/>
                <w:color w:val="000000"/>
                <w:sz w:val="20"/>
                <w:szCs w:val="20"/>
              </w:rPr>
              <w:t>3.42 (2.49, 4.30)</w:t>
            </w:r>
          </w:p>
        </w:tc>
        <w:tc>
          <w:tcPr>
            <w:tcW w:w="1800" w:type="dxa"/>
            <w:shd w:val="clear" w:color="auto" w:fill="FFFFFF"/>
            <w:tcMar>
              <w:top w:w="0" w:type="dxa"/>
              <w:left w:w="0" w:type="dxa"/>
              <w:bottom w:w="0" w:type="dxa"/>
              <w:right w:w="0" w:type="dxa"/>
            </w:tcMar>
            <w:vAlign w:val="center"/>
          </w:tcPr>
          <w:p w14:paraId="03B30D3A" w14:textId="77777777" w:rsidR="001F2076" w:rsidRDefault="007F3B32">
            <w:pPr>
              <w:spacing w:before="100" w:after="100"/>
              <w:ind w:left="100" w:right="100"/>
            </w:pPr>
            <w:r>
              <w:rPr>
                <w:rFonts w:ascii="Arial" w:eastAsia="Arial" w:hAnsi="Arial" w:cs="Arial"/>
                <w:color w:val="000000"/>
                <w:sz w:val="20"/>
                <w:szCs w:val="20"/>
              </w:rPr>
              <w:t>1.77 (1.12, 2.16)</w:t>
            </w:r>
          </w:p>
        </w:tc>
        <w:tc>
          <w:tcPr>
            <w:tcW w:w="1800" w:type="dxa"/>
            <w:shd w:val="clear" w:color="auto" w:fill="FFFFFF"/>
            <w:tcMar>
              <w:top w:w="0" w:type="dxa"/>
              <w:left w:w="0" w:type="dxa"/>
              <w:bottom w:w="0" w:type="dxa"/>
              <w:right w:w="0" w:type="dxa"/>
            </w:tcMar>
            <w:vAlign w:val="center"/>
          </w:tcPr>
          <w:p w14:paraId="070F1E26" w14:textId="77777777" w:rsidR="001F2076" w:rsidRDefault="007F3B32">
            <w:pPr>
              <w:spacing w:before="100" w:after="100"/>
              <w:ind w:left="100" w:right="100"/>
            </w:pPr>
            <w:r>
              <w:rPr>
                <w:rFonts w:ascii="Arial" w:eastAsia="Arial" w:hAnsi="Arial" w:cs="Arial"/>
                <w:color w:val="000000"/>
                <w:sz w:val="20"/>
                <w:szCs w:val="20"/>
              </w:rPr>
              <w:t>3.51 (2.60, 4.42)</w:t>
            </w:r>
          </w:p>
        </w:tc>
        <w:tc>
          <w:tcPr>
            <w:tcW w:w="1800" w:type="dxa"/>
            <w:shd w:val="clear" w:color="auto" w:fill="FFFFFF"/>
            <w:tcMar>
              <w:top w:w="0" w:type="dxa"/>
              <w:left w:w="0" w:type="dxa"/>
              <w:bottom w:w="0" w:type="dxa"/>
              <w:right w:w="0" w:type="dxa"/>
            </w:tcMar>
            <w:vAlign w:val="center"/>
          </w:tcPr>
          <w:p w14:paraId="6A04547F" w14:textId="77777777" w:rsidR="001F2076" w:rsidRDefault="007F3B32">
            <w:pPr>
              <w:spacing w:before="100" w:after="100"/>
              <w:ind w:left="100" w:right="100"/>
            </w:pPr>
            <w:r>
              <w:rPr>
                <w:rFonts w:ascii="Arial" w:eastAsia="Arial" w:hAnsi="Arial" w:cs="Arial"/>
                <w:color w:val="000000"/>
                <w:sz w:val="20"/>
                <w:szCs w:val="20"/>
              </w:rPr>
              <w:t>2.13 (1.27, 2.81)</w:t>
            </w:r>
          </w:p>
        </w:tc>
      </w:tr>
      <w:tr w:rsidR="001F2076" w14:paraId="739D154E" w14:textId="77777777">
        <w:trPr>
          <w:cantSplit/>
          <w:jc w:val="center"/>
        </w:trPr>
        <w:tc>
          <w:tcPr>
            <w:tcW w:w="1800" w:type="dxa"/>
            <w:shd w:val="clear" w:color="auto" w:fill="EFEFEF"/>
            <w:tcMar>
              <w:top w:w="0" w:type="dxa"/>
              <w:left w:w="0" w:type="dxa"/>
              <w:bottom w:w="0" w:type="dxa"/>
              <w:right w:w="0" w:type="dxa"/>
            </w:tcMar>
          </w:tcPr>
          <w:p w14:paraId="4D54B0F5"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45157CF2"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646736DD" w14:textId="77777777"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EFEFEF"/>
            <w:tcMar>
              <w:top w:w="0" w:type="dxa"/>
              <w:left w:w="0" w:type="dxa"/>
              <w:bottom w:w="0" w:type="dxa"/>
              <w:right w:w="0" w:type="dxa"/>
            </w:tcMar>
            <w:vAlign w:val="center"/>
          </w:tcPr>
          <w:p w14:paraId="66B0AC27"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22C93547" w14:textId="77777777"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EFEFEF"/>
            <w:tcMar>
              <w:top w:w="0" w:type="dxa"/>
              <w:left w:w="0" w:type="dxa"/>
              <w:bottom w:w="0" w:type="dxa"/>
              <w:right w:w="0" w:type="dxa"/>
            </w:tcMar>
            <w:vAlign w:val="center"/>
          </w:tcPr>
          <w:p w14:paraId="1C0DA7DB"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52ED45D6" w14:textId="77777777" w:rsidR="001F2076" w:rsidRDefault="007F3B32">
            <w:pPr>
              <w:spacing w:before="100" w:after="100"/>
              <w:ind w:left="100" w:right="100"/>
            </w:pPr>
            <w:r>
              <w:rPr>
                <w:rFonts w:ascii="Arial" w:eastAsia="Arial" w:hAnsi="Arial" w:cs="Arial"/>
                <w:color w:val="000000"/>
                <w:sz w:val="20"/>
                <w:szCs w:val="20"/>
              </w:rPr>
              <w:t>0</w:t>
            </w:r>
          </w:p>
        </w:tc>
      </w:tr>
      <w:tr w:rsidR="001F2076" w14:paraId="23D6D253" w14:textId="77777777">
        <w:trPr>
          <w:cantSplit/>
          <w:jc w:val="center"/>
        </w:trPr>
        <w:tc>
          <w:tcPr>
            <w:tcW w:w="1800" w:type="dxa"/>
            <w:shd w:val="clear" w:color="auto" w:fill="FFFFFF"/>
            <w:tcMar>
              <w:top w:w="0" w:type="dxa"/>
              <w:left w:w="0" w:type="dxa"/>
              <w:bottom w:w="0" w:type="dxa"/>
              <w:right w:w="0" w:type="dxa"/>
            </w:tcMar>
          </w:tcPr>
          <w:p w14:paraId="6C47471F" w14:textId="77777777" w:rsidR="001F2076" w:rsidRDefault="007F3B32">
            <w:pPr>
              <w:spacing w:before="100" w:after="100"/>
              <w:ind w:left="100" w:right="100"/>
            </w:pPr>
            <w:r>
              <w:rPr>
                <w:rFonts w:ascii="Arial" w:eastAsia="Arial" w:hAnsi="Arial" w:cs="Arial"/>
                <w:color w:val="000000"/>
                <w:sz w:val="20"/>
                <w:szCs w:val="20"/>
              </w:rPr>
              <w:t>Corresponding Blood Glucose</w:t>
            </w:r>
          </w:p>
        </w:tc>
        <w:tc>
          <w:tcPr>
            <w:tcW w:w="1800" w:type="dxa"/>
            <w:shd w:val="clear" w:color="auto" w:fill="FFFFFF"/>
            <w:tcMar>
              <w:top w:w="0" w:type="dxa"/>
              <w:left w:w="0" w:type="dxa"/>
              <w:bottom w:w="0" w:type="dxa"/>
              <w:right w:w="0" w:type="dxa"/>
            </w:tcMar>
            <w:vAlign w:val="center"/>
          </w:tcPr>
          <w:p w14:paraId="05805EC9" w14:textId="77777777" w:rsidR="001F2076" w:rsidRDefault="007F3B32">
            <w:pPr>
              <w:spacing w:before="100" w:after="100"/>
              <w:ind w:left="100" w:right="100"/>
            </w:pPr>
            <w:r>
              <w:rPr>
                <w:rFonts w:ascii="Arial" w:eastAsia="Arial" w:hAnsi="Arial" w:cs="Arial"/>
                <w:color w:val="000000"/>
                <w:sz w:val="20"/>
                <w:szCs w:val="20"/>
              </w:rPr>
              <w:t>7.01 (5.46, 7.72)</w:t>
            </w:r>
          </w:p>
        </w:tc>
        <w:tc>
          <w:tcPr>
            <w:tcW w:w="1800" w:type="dxa"/>
            <w:shd w:val="clear" w:color="auto" w:fill="FFFFFF"/>
            <w:tcMar>
              <w:top w:w="0" w:type="dxa"/>
              <w:left w:w="0" w:type="dxa"/>
              <w:bottom w:w="0" w:type="dxa"/>
              <w:right w:w="0" w:type="dxa"/>
            </w:tcMar>
            <w:vAlign w:val="center"/>
          </w:tcPr>
          <w:p w14:paraId="28C0F580" w14:textId="77777777" w:rsidR="001F2076" w:rsidRDefault="007F3B32">
            <w:pPr>
              <w:spacing w:before="100" w:after="100"/>
              <w:ind w:left="100" w:right="100"/>
            </w:pPr>
            <w:r>
              <w:rPr>
                <w:rFonts w:ascii="Arial" w:eastAsia="Arial" w:hAnsi="Arial" w:cs="Arial"/>
                <w:color w:val="000000"/>
                <w:sz w:val="20"/>
                <w:szCs w:val="20"/>
              </w:rPr>
              <w:t>7.01 (5.74, 7.47)</w:t>
            </w:r>
          </w:p>
        </w:tc>
        <w:tc>
          <w:tcPr>
            <w:tcW w:w="1800" w:type="dxa"/>
            <w:shd w:val="clear" w:color="auto" w:fill="FFFFFF"/>
            <w:tcMar>
              <w:top w:w="0" w:type="dxa"/>
              <w:left w:w="0" w:type="dxa"/>
              <w:bottom w:w="0" w:type="dxa"/>
              <w:right w:w="0" w:type="dxa"/>
            </w:tcMar>
            <w:vAlign w:val="center"/>
          </w:tcPr>
          <w:p w14:paraId="0D96F6FC" w14:textId="77777777" w:rsidR="001F2076" w:rsidRDefault="007F3B32">
            <w:pPr>
              <w:spacing w:before="100" w:after="100"/>
              <w:ind w:left="100" w:right="100"/>
            </w:pPr>
            <w:r>
              <w:rPr>
                <w:rFonts w:ascii="Arial" w:eastAsia="Arial" w:hAnsi="Arial" w:cs="Arial"/>
                <w:color w:val="000000"/>
                <w:sz w:val="20"/>
                <w:szCs w:val="20"/>
              </w:rPr>
              <w:t>7.03 (5.47, 7.80)</w:t>
            </w:r>
          </w:p>
        </w:tc>
        <w:tc>
          <w:tcPr>
            <w:tcW w:w="1800" w:type="dxa"/>
            <w:shd w:val="clear" w:color="auto" w:fill="FFFFFF"/>
            <w:tcMar>
              <w:top w:w="0" w:type="dxa"/>
              <w:left w:w="0" w:type="dxa"/>
              <w:bottom w:w="0" w:type="dxa"/>
              <w:right w:w="0" w:type="dxa"/>
            </w:tcMar>
            <w:vAlign w:val="center"/>
          </w:tcPr>
          <w:p w14:paraId="738DDFF6" w14:textId="77777777" w:rsidR="001F2076" w:rsidRDefault="007F3B32">
            <w:pPr>
              <w:spacing w:before="100" w:after="100"/>
              <w:ind w:left="100" w:right="100"/>
            </w:pPr>
            <w:r>
              <w:rPr>
                <w:rFonts w:ascii="Arial" w:eastAsia="Arial" w:hAnsi="Arial" w:cs="Arial"/>
                <w:color w:val="000000"/>
                <w:sz w:val="20"/>
                <w:szCs w:val="20"/>
              </w:rPr>
              <w:t>6.87 (5.70, 7.10)</w:t>
            </w:r>
          </w:p>
        </w:tc>
        <w:tc>
          <w:tcPr>
            <w:tcW w:w="1800" w:type="dxa"/>
            <w:shd w:val="clear" w:color="auto" w:fill="FFFFFF"/>
            <w:tcMar>
              <w:top w:w="0" w:type="dxa"/>
              <w:left w:w="0" w:type="dxa"/>
              <w:bottom w:w="0" w:type="dxa"/>
              <w:right w:w="0" w:type="dxa"/>
            </w:tcMar>
            <w:vAlign w:val="center"/>
          </w:tcPr>
          <w:p w14:paraId="24D5C5F9" w14:textId="77777777" w:rsidR="001F2076" w:rsidRDefault="007F3B32">
            <w:pPr>
              <w:spacing w:before="100" w:after="100"/>
              <w:ind w:left="100" w:right="100"/>
            </w:pPr>
            <w:r>
              <w:rPr>
                <w:rFonts w:ascii="Arial" w:eastAsia="Arial" w:hAnsi="Arial" w:cs="Arial"/>
                <w:color w:val="000000"/>
                <w:sz w:val="20"/>
                <w:szCs w:val="20"/>
              </w:rPr>
              <w:t>7.06 (5.44, 7.91)</w:t>
            </w:r>
          </w:p>
        </w:tc>
        <w:tc>
          <w:tcPr>
            <w:tcW w:w="1800" w:type="dxa"/>
            <w:shd w:val="clear" w:color="auto" w:fill="FFFFFF"/>
            <w:tcMar>
              <w:top w:w="0" w:type="dxa"/>
              <w:left w:w="0" w:type="dxa"/>
              <w:bottom w:w="0" w:type="dxa"/>
              <w:right w:w="0" w:type="dxa"/>
            </w:tcMar>
            <w:vAlign w:val="center"/>
          </w:tcPr>
          <w:p w14:paraId="3818A09F" w14:textId="77777777" w:rsidR="001F2076" w:rsidRDefault="007F3B32">
            <w:pPr>
              <w:spacing w:before="100" w:after="100"/>
              <w:ind w:left="100" w:right="100"/>
            </w:pPr>
            <w:r>
              <w:rPr>
                <w:rFonts w:ascii="Arial" w:eastAsia="Arial" w:hAnsi="Arial" w:cs="Arial"/>
                <w:color w:val="000000"/>
                <w:sz w:val="20"/>
                <w:szCs w:val="20"/>
              </w:rPr>
              <w:t>6.81 (5.72, 7.26)</w:t>
            </w:r>
          </w:p>
        </w:tc>
      </w:tr>
      <w:tr w:rsidR="001F2076" w14:paraId="47E7B5B1" w14:textId="77777777">
        <w:trPr>
          <w:cantSplit/>
          <w:jc w:val="center"/>
        </w:trPr>
        <w:tc>
          <w:tcPr>
            <w:tcW w:w="1800" w:type="dxa"/>
            <w:shd w:val="clear" w:color="auto" w:fill="EFEFEF"/>
            <w:tcMar>
              <w:top w:w="0" w:type="dxa"/>
              <w:left w:w="0" w:type="dxa"/>
              <w:bottom w:w="0" w:type="dxa"/>
              <w:right w:w="0" w:type="dxa"/>
            </w:tcMar>
          </w:tcPr>
          <w:p w14:paraId="034F7679" w14:textId="77777777"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1A80BBE7" w14:textId="77777777" w:rsidR="001F2076" w:rsidRDefault="007F3B32">
            <w:pPr>
              <w:spacing w:before="100" w:after="100"/>
              <w:ind w:left="100" w:right="100"/>
            </w:pPr>
            <w:r>
              <w:rPr>
                <w:rFonts w:ascii="Arial" w:eastAsia="Arial" w:hAnsi="Arial" w:cs="Arial"/>
                <w:color w:val="000000"/>
                <w:sz w:val="20"/>
                <w:szCs w:val="20"/>
              </w:rPr>
              <w:t>6</w:t>
            </w:r>
          </w:p>
        </w:tc>
        <w:tc>
          <w:tcPr>
            <w:tcW w:w="1800" w:type="dxa"/>
            <w:shd w:val="clear" w:color="auto" w:fill="EFEFEF"/>
            <w:tcMar>
              <w:top w:w="0" w:type="dxa"/>
              <w:left w:w="0" w:type="dxa"/>
              <w:bottom w:w="0" w:type="dxa"/>
              <w:right w:w="0" w:type="dxa"/>
            </w:tcMar>
            <w:vAlign w:val="center"/>
          </w:tcPr>
          <w:p w14:paraId="57B54C62"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614036AC" w14:textId="77777777" w:rsidR="001F2076" w:rsidRDefault="007F3B32">
            <w:pPr>
              <w:spacing w:before="100" w:after="100"/>
              <w:ind w:left="100" w:right="100"/>
            </w:pPr>
            <w:r>
              <w:rPr>
                <w:rFonts w:ascii="Arial" w:eastAsia="Arial" w:hAnsi="Arial" w:cs="Arial"/>
                <w:color w:val="000000"/>
                <w:sz w:val="20"/>
                <w:szCs w:val="20"/>
              </w:rPr>
              <w:t>6</w:t>
            </w:r>
          </w:p>
        </w:tc>
        <w:tc>
          <w:tcPr>
            <w:tcW w:w="1800" w:type="dxa"/>
            <w:shd w:val="clear" w:color="auto" w:fill="EFEFEF"/>
            <w:tcMar>
              <w:top w:w="0" w:type="dxa"/>
              <w:left w:w="0" w:type="dxa"/>
              <w:bottom w:w="0" w:type="dxa"/>
              <w:right w:w="0" w:type="dxa"/>
            </w:tcMar>
            <w:vAlign w:val="center"/>
          </w:tcPr>
          <w:p w14:paraId="777E53FA" w14:textId="77777777"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14:paraId="44688273" w14:textId="77777777" w:rsidR="001F2076" w:rsidRDefault="007F3B32">
            <w:pPr>
              <w:spacing w:before="100" w:after="100"/>
              <w:ind w:left="100" w:right="100"/>
            </w:pPr>
            <w:r>
              <w:rPr>
                <w:rFonts w:ascii="Arial" w:eastAsia="Arial" w:hAnsi="Arial" w:cs="Arial"/>
                <w:color w:val="000000"/>
                <w:sz w:val="20"/>
                <w:szCs w:val="20"/>
              </w:rPr>
              <w:t>6</w:t>
            </w:r>
          </w:p>
        </w:tc>
        <w:tc>
          <w:tcPr>
            <w:tcW w:w="1800" w:type="dxa"/>
            <w:shd w:val="clear" w:color="auto" w:fill="EFEFEF"/>
            <w:tcMar>
              <w:top w:w="0" w:type="dxa"/>
              <w:left w:w="0" w:type="dxa"/>
              <w:bottom w:w="0" w:type="dxa"/>
              <w:right w:w="0" w:type="dxa"/>
            </w:tcMar>
            <w:vAlign w:val="center"/>
          </w:tcPr>
          <w:p w14:paraId="78614D84" w14:textId="77777777" w:rsidR="001F2076" w:rsidRDefault="007F3B32">
            <w:pPr>
              <w:spacing w:before="100" w:after="100"/>
              <w:ind w:left="100" w:right="100"/>
            </w:pPr>
            <w:r>
              <w:rPr>
                <w:rFonts w:ascii="Arial" w:eastAsia="Arial" w:hAnsi="Arial" w:cs="Arial"/>
                <w:color w:val="000000"/>
                <w:sz w:val="20"/>
                <w:szCs w:val="20"/>
              </w:rPr>
              <w:t>1</w:t>
            </w:r>
          </w:p>
        </w:tc>
      </w:tr>
      <w:tr w:rsidR="001F2076" w14:paraId="3747015C" w14:textId="77777777">
        <w:trPr>
          <w:cantSplit/>
          <w:jc w:val="center"/>
        </w:trPr>
        <w:tc>
          <w:tcPr>
            <w:tcW w:w="1800" w:type="dxa"/>
            <w:shd w:val="clear" w:color="auto" w:fill="FFFFFF"/>
            <w:tcMar>
              <w:top w:w="0" w:type="dxa"/>
              <w:left w:w="0" w:type="dxa"/>
              <w:bottom w:w="0" w:type="dxa"/>
              <w:right w:w="0" w:type="dxa"/>
            </w:tcMar>
          </w:tcPr>
          <w:p w14:paraId="1F322124" w14:textId="77777777" w:rsidR="001F2076" w:rsidRDefault="007F3B32">
            <w:pPr>
              <w:spacing w:before="100" w:after="100"/>
              <w:ind w:left="100" w:right="100"/>
            </w:pPr>
            <w:r>
              <w:rPr>
                <w:rFonts w:ascii="Arial" w:eastAsia="Arial" w:hAnsi="Arial" w:cs="Arial"/>
                <w:color w:val="000000"/>
                <w:sz w:val="20"/>
                <w:szCs w:val="20"/>
              </w:rPr>
              <w:t>Cryptococcal Antigen/Indian Ink</w:t>
            </w:r>
          </w:p>
        </w:tc>
        <w:tc>
          <w:tcPr>
            <w:tcW w:w="1800" w:type="dxa"/>
            <w:shd w:val="clear" w:color="auto" w:fill="FFFFFF"/>
            <w:tcMar>
              <w:top w:w="0" w:type="dxa"/>
              <w:left w:w="0" w:type="dxa"/>
              <w:bottom w:w="0" w:type="dxa"/>
              <w:right w:w="0" w:type="dxa"/>
            </w:tcMar>
            <w:vAlign w:val="center"/>
          </w:tcPr>
          <w:p w14:paraId="612E33C0" w14:textId="77777777" w:rsidR="001F2076" w:rsidRDefault="007F3B32">
            <w:pPr>
              <w:spacing w:before="100" w:after="100"/>
              <w:ind w:left="100" w:right="100"/>
            </w:pPr>
            <w:r>
              <w:rPr>
                <w:rFonts w:ascii="Arial" w:eastAsia="Arial" w:hAnsi="Arial" w:cs="Arial"/>
                <w:color w:val="000000"/>
                <w:sz w:val="20"/>
                <w:szCs w:val="20"/>
              </w:rPr>
              <w:t>19 (3.2%)</w:t>
            </w:r>
          </w:p>
        </w:tc>
        <w:tc>
          <w:tcPr>
            <w:tcW w:w="1800" w:type="dxa"/>
            <w:shd w:val="clear" w:color="auto" w:fill="FFFFFF"/>
            <w:tcMar>
              <w:top w:w="0" w:type="dxa"/>
              <w:left w:w="0" w:type="dxa"/>
              <w:bottom w:w="0" w:type="dxa"/>
              <w:right w:w="0" w:type="dxa"/>
            </w:tcMar>
            <w:vAlign w:val="center"/>
          </w:tcPr>
          <w:p w14:paraId="44842624" w14:textId="77777777" w:rsidR="001F2076" w:rsidRDefault="007F3B32">
            <w:pPr>
              <w:spacing w:before="100" w:after="100"/>
              <w:ind w:left="100" w:right="100"/>
            </w:pPr>
            <w:r>
              <w:rPr>
                <w:rFonts w:ascii="Arial" w:eastAsia="Arial" w:hAnsi="Arial" w:cs="Arial"/>
                <w:color w:val="000000"/>
                <w:sz w:val="20"/>
                <w:szCs w:val="20"/>
              </w:rPr>
              <w:t>1 (1.1%)</w:t>
            </w:r>
          </w:p>
        </w:tc>
        <w:tc>
          <w:tcPr>
            <w:tcW w:w="1800" w:type="dxa"/>
            <w:shd w:val="clear" w:color="auto" w:fill="FFFFFF"/>
            <w:tcMar>
              <w:top w:w="0" w:type="dxa"/>
              <w:left w:w="0" w:type="dxa"/>
              <w:bottom w:w="0" w:type="dxa"/>
              <w:right w:w="0" w:type="dxa"/>
            </w:tcMar>
            <w:vAlign w:val="center"/>
          </w:tcPr>
          <w:p w14:paraId="1CB8014E" w14:textId="77777777" w:rsidR="001F2076" w:rsidRDefault="007F3B32">
            <w:pPr>
              <w:spacing w:before="100" w:after="100"/>
              <w:ind w:left="100" w:right="100"/>
            </w:pPr>
            <w:r>
              <w:rPr>
                <w:rFonts w:ascii="Arial" w:eastAsia="Arial" w:hAnsi="Arial" w:cs="Arial"/>
                <w:color w:val="000000"/>
                <w:sz w:val="20"/>
                <w:szCs w:val="20"/>
              </w:rPr>
              <w:t>19 (3.1%)</w:t>
            </w:r>
          </w:p>
        </w:tc>
        <w:tc>
          <w:tcPr>
            <w:tcW w:w="1800" w:type="dxa"/>
            <w:shd w:val="clear" w:color="auto" w:fill="FFFFFF"/>
            <w:tcMar>
              <w:top w:w="0" w:type="dxa"/>
              <w:left w:w="0" w:type="dxa"/>
              <w:bottom w:w="0" w:type="dxa"/>
              <w:right w:w="0" w:type="dxa"/>
            </w:tcMar>
            <w:vAlign w:val="center"/>
          </w:tcPr>
          <w:p w14:paraId="5A16D916" w14:textId="77777777" w:rsidR="001F2076" w:rsidRDefault="007F3B32">
            <w:pPr>
              <w:spacing w:before="100" w:after="100"/>
              <w:ind w:left="100" w:right="100"/>
            </w:pPr>
            <w:r>
              <w:rPr>
                <w:rFonts w:ascii="Arial" w:eastAsia="Arial" w:hAnsi="Arial" w:cs="Arial"/>
                <w:color w:val="000000"/>
                <w:sz w:val="20"/>
                <w:szCs w:val="20"/>
              </w:rPr>
              <w:t>1 (1.4%)</w:t>
            </w:r>
          </w:p>
        </w:tc>
        <w:tc>
          <w:tcPr>
            <w:tcW w:w="1800" w:type="dxa"/>
            <w:shd w:val="clear" w:color="auto" w:fill="FFFFFF"/>
            <w:tcMar>
              <w:top w:w="0" w:type="dxa"/>
              <w:left w:w="0" w:type="dxa"/>
              <w:bottom w:w="0" w:type="dxa"/>
              <w:right w:w="0" w:type="dxa"/>
            </w:tcMar>
            <w:vAlign w:val="center"/>
          </w:tcPr>
          <w:p w14:paraId="39931355" w14:textId="77777777" w:rsidR="001F2076" w:rsidRDefault="007F3B32">
            <w:pPr>
              <w:spacing w:before="100" w:after="100"/>
              <w:ind w:left="100" w:right="100"/>
            </w:pPr>
            <w:r>
              <w:rPr>
                <w:rFonts w:ascii="Arial" w:eastAsia="Arial" w:hAnsi="Arial" w:cs="Arial"/>
                <w:color w:val="000000"/>
                <w:sz w:val="20"/>
                <w:szCs w:val="20"/>
              </w:rPr>
              <w:t>19 (3.4%)</w:t>
            </w:r>
          </w:p>
        </w:tc>
        <w:tc>
          <w:tcPr>
            <w:tcW w:w="1800" w:type="dxa"/>
            <w:shd w:val="clear" w:color="auto" w:fill="FFFFFF"/>
            <w:tcMar>
              <w:top w:w="0" w:type="dxa"/>
              <w:left w:w="0" w:type="dxa"/>
              <w:bottom w:w="0" w:type="dxa"/>
              <w:right w:w="0" w:type="dxa"/>
            </w:tcMar>
            <w:vAlign w:val="center"/>
          </w:tcPr>
          <w:p w14:paraId="5A5984C3" w14:textId="77777777" w:rsidR="001F2076" w:rsidRDefault="007F3B32">
            <w:pPr>
              <w:spacing w:before="100" w:after="100"/>
              <w:ind w:left="100" w:right="100"/>
            </w:pPr>
            <w:r>
              <w:rPr>
                <w:rFonts w:ascii="Arial" w:eastAsia="Arial" w:hAnsi="Arial" w:cs="Arial"/>
                <w:color w:val="000000"/>
                <w:sz w:val="20"/>
                <w:szCs w:val="20"/>
              </w:rPr>
              <w:t>1 (0.8%)</w:t>
            </w:r>
          </w:p>
        </w:tc>
      </w:tr>
      <w:tr w:rsidR="001F2076" w14:paraId="78D1E340" w14:textId="77777777">
        <w:trPr>
          <w:cantSplit/>
          <w:jc w:val="center"/>
        </w:trPr>
        <w:tc>
          <w:tcPr>
            <w:tcW w:w="12600" w:type="dxa"/>
            <w:gridSpan w:val="7"/>
            <w:shd w:val="clear" w:color="auto" w:fill="CFCFCF"/>
            <w:tcMar>
              <w:top w:w="0" w:type="dxa"/>
              <w:left w:w="0" w:type="dxa"/>
              <w:bottom w:w="0" w:type="dxa"/>
              <w:right w:w="0" w:type="dxa"/>
            </w:tcMar>
            <w:vAlign w:val="center"/>
          </w:tcPr>
          <w:p w14:paraId="3A0BFC11" w14:textId="77777777" w:rsidR="001F2076" w:rsidRDefault="007F3B32">
            <w:pPr>
              <w:spacing w:before="100" w:after="100"/>
              <w:ind w:left="100" w:right="100"/>
            </w:pPr>
            <w:r>
              <w:rPr>
                <w:rFonts w:ascii="Arial" w:eastAsia="Arial" w:hAnsi="Arial" w:cs="Arial"/>
                <w:b/>
                <w:color w:val="000000"/>
                <w:sz w:val="20"/>
                <w:szCs w:val="20"/>
                <w:vertAlign w:val="superscript"/>
              </w:rPr>
              <w:t>1</w:t>
            </w:r>
            <w:r>
              <w:rPr>
                <w:rFonts w:ascii="Arial" w:eastAsia="Arial" w:hAnsi="Arial" w:cs="Arial"/>
                <w:b/>
                <w:color w:val="000000"/>
                <w:sz w:val="20"/>
                <w:szCs w:val="20"/>
              </w:rPr>
              <w:t>Mean (IQR); n (%)</w:t>
            </w:r>
          </w:p>
        </w:tc>
      </w:tr>
    </w:tbl>
    <w:p w14:paraId="27080E9B" w14:textId="77777777" w:rsidR="001F2076" w:rsidRDefault="001F2076">
      <w:pPr>
        <w:sectPr w:rsidR="001F2076">
          <w:type w:val="oddPage"/>
          <w:pgSz w:w="16838" w:h="11906" w:orient="landscape"/>
          <w:pgMar w:top="1800" w:right="720" w:bottom="1800" w:left="720" w:header="720" w:footer="720" w:gutter="720"/>
          <w:cols w:space="720"/>
        </w:sectPr>
      </w:pPr>
    </w:p>
    <w:p w14:paraId="7B2509A0" w14:textId="77777777" w:rsidR="001F2076" w:rsidRDefault="007F3B32">
      <w:r>
        <w:lastRenderedPageBreak/>
        <w:br w:type="page"/>
      </w:r>
    </w:p>
    <w:p w14:paraId="56EF3D9A" w14:textId="77777777" w:rsidR="001F2076" w:rsidRDefault="007F3B32">
      <w:pPr>
        <w:pStyle w:val="Heading1"/>
      </w:pPr>
      <w:bookmarkStart w:id="26" w:name="discussion"/>
      <w:bookmarkEnd w:id="24"/>
      <w:r>
        <w:lastRenderedPageBreak/>
        <w:t>Discussion</w:t>
      </w:r>
    </w:p>
    <w:p w14:paraId="331B2E2A" w14:textId="77777777" w:rsidR="001F2076" w:rsidRDefault="007F3B32">
      <w:pPr>
        <w:pStyle w:val="Heading1"/>
      </w:pPr>
      <w:bookmarkStart w:id="27" w:name="conclusion"/>
      <w:bookmarkEnd w:id="26"/>
      <w:r>
        <w:t>Conclusion</w:t>
      </w:r>
    </w:p>
    <w:p w14:paraId="34C6C658" w14:textId="77777777" w:rsidR="001F2076" w:rsidRDefault="007F3B32">
      <w:pPr>
        <w:pStyle w:val="Heading1"/>
      </w:pPr>
      <w:bookmarkStart w:id="28" w:name="references"/>
      <w:bookmarkEnd w:id="27"/>
      <w:r>
        <w:t>References</w:t>
      </w:r>
    </w:p>
    <w:p w14:paraId="48B3E394" w14:textId="77777777" w:rsidR="001F2076" w:rsidRDefault="007F3B32">
      <w:pPr>
        <w:pStyle w:val="Bibliography"/>
      </w:pPr>
      <w:bookmarkStart w:id="29" w:name="ref-boonstra2019"/>
      <w:bookmarkStart w:id="30" w:name="refs"/>
      <w:proofErr w:type="spellStart"/>
      <w:r>
        <w:t>Boonstra</w:t>
      </w:r>
      <w:proofErr w:type="spellEnd"/>
      <w:r>
        <w:t xml:space="preserve">, Philip S., Ryan P. </w:t>
      </w:r>
      <w:proofErr w:type="spellStart"/>
      <w:r>
        <w:t>Barbaro</w:t>
      </w:r>
      <w:proofErr w:type="spellEnd"/>
      <w:r>
        <w:t xml:space="preserve">, and Ananda Sen. 2019. “Default Priors for the Intercept Parameter in Logistic Regressions.” </w:t>
      </w:r>
      <w:r>
        <w:rPr>
          <w:i/>
          <w:iCs/>
        </w:rPr>
        <w:t>Computational Statistics &amp; Data Analysis</w:t>
      </w:r>
      <w:r>
        <w:t xml:space="preserve"> 133 (May): 245–56. </w:t>
      </w:r>
      <w:hyperlink r:id="rId13">
        <w:r>
          <w:rPr>
            <w:rStyle w:val="Hyperlink"/>
          </w:rPr>
          <w:t>https://doi.org/10.1016/j.csda.2018.10.014</w:t>
        </w:r>
      </w:hyperlink>
      <w:r>
        <w:t>.</w:t>
      </w:r>
    </w:p>
    <w:p w14:paraId="382E74CA" w14:textId="77777777" w:rsidR="001F2076" w:rsidRDefault="007F3B32">
      <w:pPr>
        <w:pStyle w:val="Bibliography"/>
      </w:pPr>
      <w:bookmarkStart w:id="31" w:name="ref-r6"/>
      <w:bookmarkEnd w:id="29"/>
      <w:r>
        <w:t xml:space="preserve">Chang, Winston. 2020. </w:t>
      </w:r>
      <w:r>
        <w:rPr>
          <w:i/>
          <w:iCs/>
        </w:rPr>
        <w:t>R6: Encapsulated Classes with Reference Semantics</w:t>
      </w:r>
      <w:r>
        <w:t xml:space="preserve">. </w:t>
      </w:r>
      <w:hyperlink r:id="rId14">
        <w:r>
          <w:rPr>
            <w:rStyle w:val="Hyperlink"/>
          </w:rPr>
          <w:t>https://CRAN.R-project.org/package=R6</w:t>
        </w:r>
      </w:hyperlink>
      <w:r>
        <w:t>.</w:t>
      </w:r>
    </w:p>
    <w:p w14:paraId="694342EC" w14:textId="77777777" w:rsidR="001F2076" w:rsidRDefault="007F3B32">
      <w:pPr>
        <w:pStyle w:val="Bibliography"/>
      </w:pPr>
      <w:bookmarkStart w:id="32" w:name="ref-chen2020"/>
      <w:bookmarkEnd w:id="31"/>
      <w:r>
        <w:t>Chen, Yuan-</w:t>
      </w:r>
      <w:proofErr w:type="spellStart"/>
      <w:r>
        <w:t>Zhi</w:t>
      </w:r>
      <w:proofErr w:type="spellEnd"/>
      <w:r>
        <w:t>, Li-Chang Sun, Yao-Hong Wen, Zhong-Wei Li, Shu-</w:t>
      </w:r>
      <w:proofErr w:type="spellStart"/>
      <w:r>
        <w:t>Jin</w:t>
      </w:r>
      <w:proofErr w:type="spellEnd"/>
      <w:r>
        <w:t xml:space="preserve"> Fan, Hong-</w:t>
      </w:r>
      <w:proofErr w:type="spellStart"/>
      <w:r>
        <w:t>Kun</w:t>
      </w:r>
      <w:proofErr w:type="spellEnd"/>
      <w:r>
        <w:t xml:space="preserve"> Tan, Min </w:t>
      </w:r>
      <w:proofErr w:type="spellStart"/>
      <w:r>
        <w:t>Qiu</w:t>
      </w:r>
      <w:proofErr w:type="spellEnd"/>
      <w:r>
        <w:t xml:space="preserve">, et al. 2020. “Pooled Analysis of the </w:t>
      </w:r>
      <w:proofErr w:type="spellStart"/>
      <w:r>
        <w:t>Xpert</w:t>
      </w:r>
      <w:proofErr w:type="spellEnd"/>
      <w:r>
        <w:t xml:space="preserve"> MTB/RIF Assay for Diagnosing Tuberculous Meningitis.” </w:t>
      </w:r>
      <w:r>
        <w:rPr>
          <w:i/>
          <w:iCs/>
        </w:rPr>
        <w:t>Bioscience Reports</w:t>
      </w:r>
      <w:r>
        <w:t xml:space="preserve"> 40 (1). </w:t>
      </w:r>
      <w:hyperlink r:id="rId15">
        <w:r>
          <w:rPr>
            <w:rStyle w:val="Hyperlink"/>
          </w:rPr>
          <w:t>https://doi.org/10.1042/bsr20191312</w:t>
        </w:r>
      </w:hyperlink>
      <w:r>
        <w:t>.</w:t>
      </w:r>
    </w:p>
    <w:p w14:paraId="546B33E5" w14:textId="77777777" w:rsidR="001F2076" w:rsidRDefault="007F3B32">
      <w:pPr>
        <w:pStyle w:val="Bibliography"/>
      </w:pPr>
      <w:bookmarkStart w:id="33" w:name="ref-classifierplots"/>
      <w:bookmarkEnd w:id="32"/>
      <w:proofErr w:type="spellStart"/>
      <w:r>
        <w:t>Defazio</w:t>
      </w:r>
      <w:proofErr w:type="spellEnd"/>
      <w:r>
        <w:t xml:space="preserve">, Aaron, and Huw Campbell. 2020. </w:t>
      </w:r>
      <w:proofErr w:type="spellStart"/>
      <w:r>
        <w:rPr>
          <w:i/>
          <w:iCs/>
        </w:rPr>
        <w:t>Classifierplots</w:t>
      </w:r>
      <w:proofErr w:type="spellEnd"/>
      <w:r>
        <w:rPr>
          <w:i/>
          <w:iCs/>
        </w:rPr>
        <w:t>: Generates a Visualization of Classifier Performance as a Grid of Diagnostic Plots</w:t>
      </w:r>
      <w:r>
        <w:t xml:space="preserve">. </w:t>
      </w:r>
      <w:hyperlink r:id="rId16">
        <w:r>
          <w:rPr>
            <w:rStyle w:val="Hyperlink"/>
          </w:rPr>
          <w:t>https://CRAN.R-project.org/package=classifierplots</w:t>
        </w:r>
      </w:hyperlink>
      <w:r>
        <w:t>.</w:t>
      </w:r>
    </w:p>
    <w:p w14:paraId="2FB2C211" w14:textId="77777777" w:rsidR="001F2076" w:rsidRDefault="007F3B32">
      <w:pPr>
        <w:pStyle w:val="Bibliography"/>
      </w:pPr>
      <w:bookmarkStart w:id="34" w:name="ref-donovan2020"/>
      <w:bookmarkEnd w:id="33"/>
      <w:r>
        <w:t xml:space="preserve">Donovan, Joseph, Do Dang Anh Thu, Nguyen </w:t>
      </w:r>
      <w:proofErr w:type="spellStart"/>
      <w:r>
        <w:t>Hoan</w:t>
      </w:r>
      <w:proofErr w:type="spellEnd"/>
      <w:r>
        <w:t xml:space="preserve"> </w:t>
      </w:r>
      <w:proofErr w:type="spellStart"/>
      <w:r>
        <w:t>Phu</w:t>
      </w:r>
      <w:proofErr w:type="spellEnd"/>
      <w:r>
        <w:t xml:space="preserve">, Vu </w:t>
      </w:r>
      <w:proofErr w:type="spellStart"/>
      <w:r>
        <w:t>Thi</w:t>
      </w:r>
      <w:proofErr w:type="spellEnd"/>
      <w:r>
        <w:t xml:space="preserve"> </w:t>
      </w:r>
      <w:proofErr w:type="spellStart"/>
      <w:r>
        <w:t>Mong</w:t>
      </w:r>
      <w:proofErr w:type="spellEnd"/>
      <w:r>
        <w:t xml:space="preserve"> Dung, Tran </w:t>
      </w:r>
      <w:proofErr w:type="spellStart"/>
      <w:r>
        <w:t>Phu</w:t>
      </w:r>
      <w:proofErr w:type="spellEnd"/>
      <w:r>
        <w:t xml:space="preserve"> Quang, Ho Dang </w:t>
      </w:r>
      <w:proofErr w:type="spellStart"/>
      <w:r>
        <w:t>Trung</w:t>
      </w:r>
      <w:proofErr w:type="spellEnd"/>
      <w:r>
        <w:t xml:space="preserve"> </w:t>
      </w:r>
      <w:proofErr w:type="spellStart"/>
      <w:r>
        <w:t>Nghia</w:t>
      </w:r>
      <w:proofErr w:type="spellEnd"/>
      <w:r>
        <w:t xml:space="preserve">, Pham </w:t>
      </w:r>
      <w:proofErr w:type="spellStart"/>
      <w:r>
        <w:t>Kieu</w:t>
      </w:r>
      <w:proofErr w:type="spellEnd"/>
      <w:r>
        <w:t xml:space="preserve"> Nguyet </w:t>
      </w:r>
      <w:proofErr w:type="spellStart"/>
      <w:r>
        <w:t>Oanh</w:t>
      </w:r>
      <w:proofErr w:type="spellEnd"/>
      <w:r>
        <w:t>, et al. 2020. “</w:t>
      </w:r>
      <w:proofErr w:type="spellStart"/>
      <w:r>
        <w:t>Xpert</w:t>
      </w:r>
      <w:proofErr w:type="spellEnd"/>
      <w:r>
        <w:t xml:space="preserve"> MTB/RIF Ultra Versus </w:t>
      </w:r>
      <w:proofErr w:type="spellStart"/>
      <w:r>
        <w:t>Xpert</w:t>
      </w:r>
      <w:proofErr w:type="spellEnd"/>
      <w:r>
        <w:t xml:space="preserve"> MTB/RIF for the Diagnosis of Tuberculous Meningitis: A Prospective, </w:t>
      </w:r>
      <w:proofErr w:type="spellStart"/>
      <w:r>
        <w:t>Randomised</w:t>
      </w:r>
      <w:proofErr w:type="spellEnd"/>
      <w:r>
        <w:t xml:space="preserve">, Diagnostic Accuracy Study.” </w:t>
      </w:r>
      <w:r>
        <w:rPr>
          <w:i/>
          <w:iCs/>
        </w:rPr>
        <w:t>The Lancet Infectious Diseases</w:t>
      </w:r>
      <w:r>
        <w:t xml:space="preserve"> 20 (3): 299–307. </w:t>
      </w:r>
      <w:hyperlink r:id="rId17">
        <w:r>
          <w:rPr>
            <w:rStyle w:val="Hyperlink"/>
          </w:rPr>
          <w:t>https://doi.org/10.1016/s1473-3099(19)30649-8</w:t>
        </w:r>
      </w:hyperlink>
      <w:r>
        <w:t>.</w:t>
      </w:r>
    </w:p>
    <w:p w14:paraId="77CBD2E6" w14:textId="77777777" w:rsidR="001F2076" w:rsidRDefault="007F3B32">
      <w:pPr>
        <w:pStyle w:val="Bibliography"/>
      </w:pPr>
      <w:bookmarkStart w:id="35" w:name="ref-bayesplot"/>
      <w:bookmarkEnd w:id="34"/>
      <w:proofErr w:type="spellStart"/>
      <w:r>
        <w:t>Gabry</w:t>
      </w:r>
      <w:proofErr w:type="spellEnd"/>
      <w:r>
        <w:t xml:space="preserve">, Jonah, Daniel Simpson, Aki </w:t>
      </w:r>
      <w:proofErr w:type="spellStart"/>
      <w:r>
        <w:t>Vehtari</w:t>
      </w:r>
      <w:proofErr w:type="spellEnd"/>
      <w:r>
        <w:t xml:space="preserve">, Michael Betancourt, and Andrew Gelman. 2019. “Visualization in Bayesian Workflow.” </w:t>
      </w:r>
      <w:r>
        <w:rPr>
          <w:i/>
          <w:iCs/>
        </w:rPr>
        <w:t>J. R. Stat. Soc. A</w:t>
      </w:r>
      <w:r>
        <w:t xml:space="preserve"> 182: 389–402. </w:t>
      </w:r>
      <w:hyperlink r:id="rId18">
        <w:r>
          <w:rPr>
            <w:rStyle w:val="Hyperlink"/>
          </w:rPr>
          <w:t>https://doi.org/10.1111/rssa.12378</w:t>
        </w:r>
      </w:hyperlink>
      <w:r>
        <w:t>.</w:t>
      </w:r>
    </w:p>
    <w:p w14:paraId="6166C1C1" w14:textId="77777777" w:rsidR="001F2076" w:rsidRDefault="007F3B32">
      <w:pPr>
        <w:pStyle w:val="Bibliography"/>
      </w:pPr>
      <w:bookmarkStart w:id="36" w:name="ref-hadgu2002"/>
      <w:bookmarkEnd w:id="35"/>
      <w:proofErr w:type="spellStart"/>
      <w:r>
        <w:t>Hadgu</w:t>
      </w:r>
      <w:proofErr w:type="spellEnd"/>
      <w:r>
        <w:t xml:space="preserve">, A., and Y. Qu. 2002. “A Biomedical Application of Latent Class Models with Random Effects.” </w:t>
      </w:r>
      <w:r>
        <w:rPr>
          <w:i/>
          <w:iCs/>
        </w:rPr>
        <w:t>Journal of the Royal Statistical Society: Series C (Applied Statistics)</w:t>
      </w:r>
      <w:r>
        <w:t xml:space="preserve"> 47 (4): 603–16. </w:t>
      </w:r>
      <w:hyperlink r:id="rId19">
        <w:r>
          <w:rPr>
            <w:rStyle w:val="Hyperlink"/>
          </w:rPr>
          <w:t>https://doi.org/10.1111/1467-9876.00131</w:t>
        </w:r>
      </w:hyperlink>
      <w:r>
        <w:t>.</w:t>
      </w:r>
    </w:p>
    <w:p w14:paraId="3E240139" w14:textId="77777777" w:rsidR="001F2076" w:rsidRDefault="007F3B32">
      <w:pPr>
        <w:pStyle w:val="Bibliography"/>
      </w:pPr>
      <w:bookmarkStart w:id="37" w:name="ref-rms"/>
      <w:bookmarkEnd w:id="36"/>
      <w:r>
        <w:t xml:space="preserve">Harrell Jr, Frank E. 2021. </w:t>
      </w:r>
      <w:r>
        <w:rPr>
          <w:i/>
          <w:iCs/>
        </w:rPr>
        <w:t>Rms: Regression Modeling Strategies</w:t>
      </w:r>
      <w:r>
        <w:t xml:space="preserve">. </w:t>
      </w:r>
      <w:hyperlink r:id="rId20">
        <w:r>
          <w:rPr>
            <w:rStyle w:val="Hyperlink"/>
          </w:rPr>
          <w:t>https://CRAN.R-project.org/package=rms</w:t>
        </w:r>
      </w:hyperlink>
      <w:r>
        <w:t>.</w:t>
      </w:r>
    </w:p>
    <w:p w14:paraId="064FC812" w14:textId="77777777" w:rsidR="001F2076" w:rsidRDefault="007F3B32">
      <w:pPr>
        <w:pStyle w:val="Bibliography"/>
      </w:pPr>
      <w:bookmarkStart w:id="38" w:name="ref-marais2010"/>
      <w:bookmarkEnd w:id="37"/>
      <w:r>
        <w:t xml:space="preserve">Marais, </w:t>
      </w:r>
      <w:proofErr w:type="spellStart"/>
      <w:r>
        <w:t>Suzaan</w:t>
      </w:r>
      <w:proofErr w:type="spellEnd"/>
      <w:r>
        <w:t xml:space="preserve">, Guy Thwaites, Johan F Schoeman, M Estée </w:t>
      </w:r>
      <w:proofErr w:type="spellStart"/>
      <w:r>
        <w:t>Török</w:t>
      </w:r>
      <w:proofErr w:type="spellEnd"/>
      <w:r>
        <w:t xml:space="preserve">, Usha K </w:t>
      </w:r>
      <w:proofErr w:type="spellStart"/>
      <w:r>
        <w:t>Misra</w:t>
      </w:r>
      <w:proofErr w:type="spellEnd"/>
      <w:r>
        <w:t xml:space="preserve">, </w:t>
      </w:r>
      <w:proofErr w:type="spellStart"/>
      <w:r>
        <w:t>Kameshwar</w:t>
      </w:r>
      <w:proofErr w:type="spellEnd"/>
      <w:r>
        <w:t xml:space="preserve"> Prasad, Peter R Donald, Robert J Wilkinson, and Ben J Marais. 2010. “Tuberculous Meningitis: A Uniform Case Definition for Use in Clinical Research.” </w:t>
      </w:r>
      <w:r>
        <w:rPr>
          <w:i/>
          <w:iCs/>
        </w:rPr>
        <w:t>The Lancet Infectious Diseases</w:t>
      </w:r>
      <w:r>
        <w:t xml:space="preserve"> 10 (11): 803–12. </w:t>
      </w:r>
      <w:hyperlink r:id="rId21">
        <w:r>
          <w:rPr>
            <w:rStyle w:val="Hyperlink"/>
          </w:rPr>
          <w:t>https://doi.org/10.1016/s1473-3099(10)70138-9</w:t>
        </w:r>
      </w:hyperlink>
      <w:r>
        <w:t>.</w:t>
      </w:r>
    </w:p>
    <w:p w14:paraId="3DBAFE48" w14:textId="77777777" w:rsidR="001F2076" w:rsidRDefault="007F3B32">
      <w:pPr>
        <w:pStyle w:val="Bibliography"/>
      </w:pPr>
      <w:bookmarkStart w:id="39" w:name="ref-mason2017"/>
      <w:bookmarkEnd w:id="38"/>
      <w:r>
        <w:t xml:space="preserve">Mason, </w:t>
      </w:r>
      <w:proofErr w:type="spellStart"/>
      <w:r>
        <w:t>Alexina</w:t>
      </w:r>
      <w:proofErr w:type="spellEnd"/>
      <w:r>
        <w:t xml:space="preserve"> J, Manuel Gomes, Richard Grieve, Pinar </w:t>
      </w:r>
      <w:proofErr w:type="spellStart"/>
      <w:r>
        <w:t>Ulug</w:t>
      </w:r>
      <w:proofErr w:type="spellEnd"/>
      <w:r>
        <w:t xml:space="preserve">, Janet T Powell, and James Carpenter. 2017. “Development of a Practical Approach to Expert Elicitation for </w:t>
      </w:r>
      <w:proofErr w:type="spellStart"/>
      <w:r>
        <w:t>Randomised</w:t>
      </w:r>
      <w:proofErr w:type="spellEnd"/>
      <w:r>
        <w:t xml:space="preserve"> Controlled Trials with Missing Health Outcomes: Application to the IMPROVE Trial.” </w:t>
      </w:r>
      <w:r>
        <w:rPr>
          <w:i/>
          <w:iCs/>
        </w:rPr>
        <w:t>Clinical Trials</w:t>
      </w:r>
      <w:r>
        <w:t xml:space="preserve"> 14 (4): 357–67. </w:t>
      </w:r>
      <w:hyperlink r:id="rId22">
        <w:r>
          <w:rPr>
            <w:rStyle w:val="Hyperlink"/>
          </w:rPr>
          <w:t>https://doi.org/10.1177/1740774517711442</w:t>
        </w:r>
      </w:hyperlink>
      <w:r>
        <w:t>.</w:t>
      </w:r>
    </w:p>
    <w:p w14:paraId="49B9DC48" w14:textId="77777777" w:rsidR="001F2076" w:rsidRDefault="007F3B32">
      <w:pPr>
        <w:pStyle w:val="Bibliography"/>
      </w:pPr>
      <w:bookmarkStart w:id="40" w:name="ref-nhu2013"/>
      <w:bookmarkEnd w:id="39"/>
      <w:proofErr w:type="spellStart"/>
      <w:r>
        <w:lastRenderedPageBreak/>
        <w:t>Nhu</w:t>
      </w:r>
      <w:proofErr w:type="spellEnd"/>
      <w:r>
        <w:t xml:space="preserve">, N. T. Q., D. Heemskerk, D. D. A. Thu, T. T. H. Chau, N. T. H. Mai, H. D. T. </w:t>
      </w:r>
      <w:proofErr w:type="spellStart"/>
      <w:r>
        <w:t>Nghia</w:t>
      </w:r>
      <w:proofErr w:type="spellEnd"/>
      <w:r>
        <w:t xml:space="preserve">, P. P. Loc, et al. 2013. “Evaluation of GeneXpert MTB/RIF for Diagnosis of Tuberculous Meningitis.” </w:t>
      </w:r>
      <w:r>
        <w:rPr>
          <w:i/>
          <w:iCs/>
        </w:rPr>
        <w:t>Journal of Clinical Microbiology</w:t>
      </w:r>
      <w:r>
        <w:t xml:space="preserve"> 52 (1): 226–33. </w:t>
      </w:r>
      <w:hyperlink r:id="rId23">
        <w:r>
          <w:rPr>
            <w:rStyle w:val="Hyperlink"/>
          </w:rPr>
          <w:t>https://doi.org/10.1128/jcm.01834-13</w:t>
        </w:r>
      </w:hyperlink>
      <w:r>
        <w:t>.</w:t>
      </w:r>
    </w:p>
    <w:p w14:paraId="7A44A4F9" w14:textId="77777777" w:rsidR="001F2076" w:rsidRDefault="007F3B32">
      <w:pPr>
        <w:pStyle w:val="Bibliography"/>
      </w:pPr>
      <w:bookmarkStart w:id="41" w:name="ref-qu1996"/>
      <w:bookmarkEnd w:id="40"/>
      <w:r>
        <w:t xml:space="preserve">Qu, </w:t>
      </w:r>
      <w:proofErr w:type="spellStart"/>
      <w:r>
        <w:t>Yinsheng</w:t>
      </w:r>
      <w:proofErr w:type="spellEnd"/>
      <w:r>
        <w:t xml:space="preserve">, Ming Tan, and Michael H. Kutner. 1996. “Random Effects Models in Latent Class Analysis for Evaluating Accuracy of Diagnostic Tests.” </w:t>
      </w:r>
      <w:r>
        <w:rPr>
          <w:i/>
          <w:iCs/>
        </w:rPr>
        <w:t>Biometrics</w:t>
      </w:r>
      <w:r>
        <w:t xml:space="preserve"> 52 (3): 797. </w:t>
      </w:r>
      <w:hyperlink r:id="rId24">
        <w:r>
          <w:rPr>
            <w:rStyle w:val="Hyperlink"/>
          </w:rPr>
          <w:t>https://doi.org/10.2307/2533043</w:t>
        </w:r>
      </w:hyperlink>
      <w:r>
        <w:t>.</w:t>
      </w:r>
    </w:p>
    <w:p w14:paraId="3679D719" w14:textId="77777777" w:rsidR="001F2076" w:rsidRDefault="007F3B32">
      <w:pPr>
        <w:pStyle w:val="Bibliography"/>
      </w:pPr>
      <w:bookmarkStart w:id="42" w:name="ref-rcoreteam"/>
      <w:bookmarkEnd w:id="41"/>
      <w:r>
        <w:t xml:space="preserve">R Core Team. 2021. </w:t>
      </w:r>
      <w:r>
        <w:rPr>
          <w:i/>
          <w:iCs/>
        </w:rPr>
        <w:t>R: A Language and Environment for Statistical Computing</w:t>
      </w:r>
      <w:r>
        <w:t xml:space="preserve">. Vienna, Austria: R Foundation for Statistical Computing. </w:t>
      </w:r>
      <w:hyperlink r:id="rId25">
        <w:r>
          <w:rPr>
            <w:rStyle w:val="Hyperlink"/>
          </w:rPr>
          <w:t>https://www.R-project.org/</w:t>
        </w:r>
      </w:hyperlink>
      <w:r>
        <w:t>.</w:t>
      </w:r>
    </w:p>
    <w:p w14:paraId="7B3DB09F" w14:textId="77777777" w:rsidR="001F2076" w:rsidRDefault="007F3B32">
      <w:pPr>
        <w:pStyle w:val="Bibliography"/>
      </w:pPr>
      <w:bookmarkStart w:id="43" w:name="ref-schumacher2016"/>
      <w:bookmarkEnd w:id="42"/>
      <w:r>
        <w:t xml:space="preserve">Schumacher, Samuel G., Maarten van </w:t>
      </w:r>
      <w:proofErr w:type="spellStart"/>
      <w:r>
        <w:t>Smeden</w:t>
      </w:r>
      <w:proofErr w:type="spellEnd"/>
      <w:r>
        <w:t xml:space="preserve">, Nandini </w:t>
      </w:r>
      <w:proofErr w:type="spellStart"/>
      <w:r>
        <w:t>Dendukuri</w:t>
      </w:r>
      <w:proofErr w:type="spellEnd"/>
      <w:r>
        <w:t xml:space="preserve">, Lawrence Joseph, Mark P. Nicol, Madhukar Pai, and Heather J. </w:t>
      </w:r>
      <w:proofErr w:type="spellStart"/>
      <w:r>
        <w:t>Zar</w:t>
      </w:r>
      <w:proofErr w:type="spellEnd"/>
      <w:r>
        <w:t xml:space="preserve">. 2016. “Diagnostic Test Accuracy in Childhood Pulmonary Tuberculosis: A Bayesian Latent Class Analysis.” </w:t>
      </w:r>
      <w:r>
        <w:rPr>
          <w:i/>
          <w:iCs/>
        </w:rPr>
        <w:t>American Journal of Epidemiology</w:t>
      </w:r>
      <w:r>
        <w:t xml:space="preserve"> 184 (9): 690–700. </w:t>
      </w:r>
      <w:hyperlink r:id="rId26">
        <w:r>
          <w:rPr>
            <w:rStyle w:val="Hyperlink"/>
          </w:rPr>
          <w:t>https://doi.org/10.1093/aje/kww094</w:t>
        </w:r>
      </w:hyperlink>
      <w:r>
        <w:t>.</w:t>
      </w:r>
    </w:p>
    <w:p w14:paraId="08ADBC1A" w14:textId="77777777" w:rsidR="001F2076" w:rsidRDefault="007F3B32">
      <w:pPr>
        <w:pStyle w:val="Bibliography"/>
      </w:pPr>
      <w:bookmarkStart w:id="44" w:name="ref-stan"/>
      <w:bookmarkEnd w:id="43"/>
      <w:r>
        <w:t>Stan Development Team. 2021a. “</w:t>
      </w:r>
      <w:proofErr w:type="spellStart"/>
      <w:r>
        <w:t>RStan</w:t>
      </w:r>
      <w:proofErr w:type="spellEnd"/>
      <w:r>
        <w:t xml:space="preserve">: The R Interface to Stan.” </w:t>
      </w:r>
      <w:hyperlink r:id="rId27">
        <w:r>
          <w:rPr>
            <w:rStyle w:val="Hyperlink"/>
          </w:rPr>
          <w:t>https://mc-stan.org/</w:t>
        </w:r>
      </w:hyperlink>
      <w:r>
        <w:t>.</w:t>
      </w:r>
    </w:p>
    <w:p w14:paraId="0C15DA23" w14:textId="77777777" w:rsidR="001F2076" w:rsidRDefault="007F3B32">
      <w:pPr>
        <w:pStyle w:val="Bibliography"/>
      </w:pPr>
      <w:bookmarkStart w:id="45" w:name="ref-stan-doc"/>
      <w:bookmarkEnd w:id="44"/>
      <w:r>
        <w:t xml:space="preserve">———. 2021b. </w:t>
      </w:r>
      <w:r>
        <w:rPr>
          <w:i/>
          <w:iCs/>
        </w:rPr>
        <w:t>Stan Modeling Language Users Guide and Reference Manual</w:t>
      </w:r>
      <w:r>
        <w:t xml:space="preserve">. </w:t>
      </w:r>
      <w:hyperlink r:id="rId28">
        <w:r>
          <w:rPr>
            <w:rStyle w:val="Hyperlink"/>
          </w:rPr>
          <w:t>https://mc-stan.org/</w:t>
        </w:r>
      </w:hyperlink>
      <w:r>
        <w:t>.</w:t>
      </w:r>
    </w:p>
    <w:p w14:paraId="3D5E1608" w14:textId="77777777" w:rsidR="001F2076" w:rsidRDefault="007F3B32">
      <w:pPr>
        <w:pStyle w:val="Bibliography"/>
      </w:pPr>
      <w:bookmarkStart w:id="46" w:name="ref-prior-choice"/>
      <w:bookmarkEnd w:id="45"/>
      <w:r>
        <w:t xml:space="preserve">———. n.d. “Prior Choice </w:t>
      </w:r>
      <w:proofErr w:type="gramStart"/>
      <w:r>
        <w:t>Recommendations  stan</w:t>
      </w:r>
      <w:proofErr w:type="gramEnd"/>
      <w:r>
        <w:t xml:space="preserve">-dev/stan Wiki  GitHub.” Accessed August 12, 2021. </w:t>
      </w:r>
      <w:hyperlink r:id="rId29">
        <w:r>
          <w:rPr>
            <w:rStyle w:val="Hyperlink"/>
          </w:rPr>
          <w:t>https://github.com/stan-dev/stan/wiki/Prior-Choice-Recommendations</w:t>
        </w:r>
      </w:hyperlink>
      <w:r>
        <w:t>.</w:t>
      </w:r>
    </w:p>
    <w:p w14:paraId="5D7FF5EA" w14:textId="77777777" w:rsidR="001F2076" w:rsidRDefault="007F3B32">
      <w:pPr>
        <w:pStyle w:val="Bibliography"/>
      </w:pPr>
      <w:bookmarkStart w:id="47" w:name="ref-thwaites2002"/>
      <w:bookmarkEnd w:id="46"/>
      <w:r>
        <w:t xml:space="preserve">Thwaites, GE, TTH Chau, K </w:t>
      </w:r>
      <w:proofErr w:type="spellStart"/>
      <w:r>
        <w:t>Stepniewska</w:t>
      </w:r>
      <w:proofErr w:type="spellEnd"/>
      <w:r>
        <w:t xml:space="preserve">, NH </w:t>
      </w:r>
      <w:proofErr w:type="spellStart"/>
      <w:r>
        <w:t>Phu</w:t>
      </w:r>
      <w:proofErr w:type="spellEnd"/>
      <w:r>
        <w:t xml:space="preserve">, LV </w:t>
      </w:r>
      <w:proofErr w:type="spellStart"/>
      <w:r>
        <w:t>Chuong</w:t>
      </w:r>
      <w:proofErr w:type="spellEnd"/>
      <w:r>
        <w:t xml:space="preserve">, DX </w:t>
      </w:r>
      <w:proofErr w:type="spellStart"/>
      <w:r>
        <w:t>Sinh</w:t>
      </w:r>
      <w:proofErr w:type="spellEnd"/>
      <w:r>
        <w:t xml:space="preserve">, NJ White, CM Parry, and JJ Farrar. 2002. “Diagnosis of Adult Tuberculous Meningitis by Use of Clinical and Laboratory Features.” </w:t>
      </w:r>
      <w:r>
        <w:rPr>
          <w:i/>
          <w:iCs/>
        </w:rPr>
        <w:t>The Lancet</w:t>
      </w:r>
      <w:r>
        <w:t xml:space="preserve"> 360 (9342): 1287–92. </w:t>
      </w:r>
      <w:hyperlink r:id="rId30">
        <w:r>
          <w:rPr>
            <w:rStyle w:val="Hyperlink"/>
          </w:rPr>
          <w:t>https://doi.org/10.1016/s0140-6736(02)11318-3</w:t>
        </w:r>
      </w:hyperlink>
      <w:r>
        <w:t>.</w:t>
      </w:r>
    </w:p>
    <w:p w14:paraId="1109F704" w14:textId="77777777" w:rsidR="001F2076" w:rsidRDefault="007F3B32">
      <w:pPr>
        <w:pStyle w:val="Bibliography"/>
      </w:pPr>
      <w:bookmarkStart w:id="48" w:name="ref-vanerp2019"/>
      <w:bookmarkEnd w:id="47"/>
      <w:r>
        <w:t xml:space="preserve">van </w:t>
      </w:r>
      <w:proofErr w:type="spellStart"/>
      <w:r>
        <w:t>Erp</w:t>
      </w:r>
      <w:proofErr w:type="spellEnd"/>
      <w:r>
        <w:t xml:space="preserve">, Sara, Daniel L. </w:t>
      </w:r>
      <w:proofErr w:type="spellStart"/>
      <w:r>
        <w:t>Oberski</w:t>
      </w:r>
      <w:proofErr w:type="spellEnd"/>
      <w:r>
        <w:t xml:space="preserve">, and Joris Mulder. 2019. “Shrinkage Priors for Bayesian Penalized Regression.” </w:t>
      </w:r>
      <w:r>
        <w:rPr>
          <w:i/>
          <w:iCs/>
        </w:rPr>
        <w:t>Journal of Mathematical Psychology</w:t>
      </w:r>
      <w:r>
        <w:t xml:space="preserve"> 89 (April): 31–50. </w:t>
      </w:r>
      <w:hyperlink r:id="rId31">
        <w:r>
          <w:rPr>
            <w:rStyle w:val="Hyperlink"/>
          </w:rPr>
          <w:t>https://doi.org/10.1016/j.jmp.2018.12.004</w:t>
        </w:r>
      </w:hyperlink>
      <w:r>
        <w:t>.</w:t>
      </w:r>
    </w:p>
    <w:p w14:paraId="4656023C" w14:textId="77777777" w:rsidR="001F2076" w:rsidRDefault="007F3B32">
      <w:pPr>
        <w:pStyle w:val="Bibliography"/>
      </w:pPr>
      <w:bookmarkStart w:id="49" w:name="ref-vehtari2016"/>
      <w:bookmarkEnd w:id="48"/>
      <w:proofErr w:type="spellStart"/>
      <w:r>
        <w:t>Vehtari</w:t>
      </w:r>
      <w:proofErr w:type="spellEnd"/>
      <w:r>
        <w:t xml:space="preserve">, Aki, Andrew Gelman, and Jonah </w:t>
      </w:r>
      <w:proofErr w:type="spellStart"/>
      <w:r>
        <w:t>Gabry</w:t>
      </w:r>
      <w:proofErr w:type="spellEnd"/>
      <w:r>
        <w:t xml:space="preserve">. 2016. “Practical Bayesian Model Evaluation Using Leave-One-Out Cross-Validation and WAIC.” </w:t>
      </w:r>
      <w:r>
        <w:rPr>
          <w:i/>
          <w:iCs/>
        </w:rPr>
        <w:t>Statistics and Computing</w:t>
      </w:r>
      <w:r>
        <w:t xml:space="preserve"> 27 (5): 1413–32. </w:t>
      </w:r>
      <w:hyperlink r:id="rId32">
        <w:r>
          <w:rPr>
            <w:rStyle w:val="Hyperlink"/>
          </w:rPr>
          <w:t>https://doi.org/10.1007/s11222-016-9696-4</w:t>
        </w:r>
      </w:hyperlink>
      <w:r>
        <w:t>.</w:t>
      </w:r>
    </w:p>
    <w:p w14:paraId="6CA090F6" w14:textId="77777777" w:rsidR="001F2076" w:rsidRDefault="007F3B32">
      <w:pPr>
        <w:pStyle w:val="Bibliography"/>
      </w:pPr>
      <w:bookmarkStart w:id="50" w:name="ref-white2007"/>
      <w:bookmarkEnd w:id="49"/>
      <w:r>
        <w:t xml:space="preserve">White, Ian R, James Carpenter, Stephen Evans, and Sara </w:t>
      </w:r>
      <w:proofErr w:type="spellStart"/>
      <w:r>
        <w:t>Schroter</w:t>
      </w:r>
      <w:proofErr w:type="spellEnd"/>
      <w:r>
        <w:t xml:space="preserve">. 2007. “Eliciting and Using Expert Opinions about Dropout Bias in Randomized Controlled Trials.” </w:t>
      </w:r>
      <w:r>
        <w:rPr>
          <w:i/>
          <w:iCs/>
        </w:rPr>
        <w:t>Clinical Trials</w:t>
      </w:r>
      <w:r>
        <w:t xml:space="preserve"> 4 (2): 125–39. </w:t>
      </w:r>
      <w:hyperlink r:id="rId33">
        <w:r>
          <w:rPr>
            <w:rStyle w:val="Hyperlink"/>
          </w:rPr>
          <w:t>https://doi.org/10.1177/1740774507077849</w:t>
        </w:r>
      </w:hyperlink>
      <w:r>
        <w:t>.</w:t>
      </w:r>
    </w:p>
    <w:p w14:paraId="66E60D0C" w14:textId="77777777" w:rsidR="001F2076" w:rsidRDefault="007F3B32">
      <w:pPr>
        <w:pStyle w:val="Bibliography"/>
      </w:pPr>
      <w:bookmarkStart w:id="51" w:name="ref-ggvenn"/>
      <w:bookmarkEnd w:id="50"/>
      <w:r>
        <w:t xml:space="preserve">Yan, </w:t>
      </w:r>
      <w:proofErr w:type="spellStart"/>
      <w:r>
        <w:t>Linlin</w:t>
      </w:r>
      <w:proofErr w:type="spellEnd"/>
      <w:r>
        <w:t xml:space="preserve">. 2021. </w:t>
      </w:r>
      <w:proofErr w:type="spellStart"/>
      <w:r>
        <w:rPr>
          <w:i/>
          <w:iCs/>
        </w:rPr>
        <w:t>Ggvenn</w:t>
      </w:r>
      <w:proofErr w:type="spellEnd"/>
      <w:r>
        <w:rPr>
          <w:i/>
          <w:iCs/>
        </w:rPr>
        <w:t>: Draw Venn Diagram by ’Ggplot2’</w:t>
      </w:r>
      <w:r>
        <w:t xml:space="preserve">. </w:t>
      </w:r>
      <w:hyperlink r:id="rId34">
        <w:r>
          <w:rPr>
            <w:rStyle w:val="Hyperlink"/>
          </w:rPr>
          <w:t>https://CRAN.R-project.org/package=ggvenn</w:t>
        </w:r>
      </w:hyperlink>
      <w:r>
        <w:t>.</w:t>
      </w:r>
    </w:p>
    <w:p w14:paraId="228F83EA" w14:textId="77777777" w:rsidR="001F2076" w:rsidRDefault="007F3B32" w:rsidP="006676F1">
      <w:pPr>
        <w:pStyle w:val="AppendixH1"/>
      </w:pPr>
      <w:bookmarkStart w:id="52" w:name="appendix-appendix"/>
      <w:bookmarkEnd w:id="28"/>
      <w:bookmarkEnd w:id="30"/>
      <w:bookmarkEnd w:id="51"/>
      <w:r>
        <w:lastRenderedPageBreak/>
        <w:t>(APPENDIX) Appendix</w:t>
      </w:r>
    </w:p>
    <w:p w14:paraId="76C479D4" w14:textId="77777777" w:rsidR="001F2076" w:rsidRDefault="007F3B32" w:rsidP="00012DA6">
      <w:pPr>
        <w:pStyle w:val="AppendixH1"/>
      </w:pPr>
      <w:bookmarkStart w:id="53" w:name="appendix-details"/>
      <w:bookmarkEnd w:id="52"/>
      <w:r>
        <w:t>Model Formulation Details</w:t>
      </w:r>
    </w:p>
    <w:p w14:paraId="6A82A157" w14:textId="77777777" w:rsidR="001F2076" w:rsidRDefault="007F3B32" w:rsidP="00012DA6">
      <w:pPr>
        <w:pStyle w:val="AppendixH2"/>
      </w:pPr>
      <w:r>
        <w:t>To be written</w:t>
      </w:r>
    </w:p>
    <w:p w14:paraId="30747307" w14:textId="77777777" w:rsidR="001F2076" w:rsidRDefault="007F3B32">
      <w:pPr>
        <w:pStyle w:val="Heading1"/>
      </w:pPr>
      <w:bookmarkStart w:id="54" w:name="appendix-simulation-study"/>
      <w:bookmarkEnd w:id="53"/>
      <w:r>
        <w:t>Simulation study</w:t>
      </w:r>
    </w:p>
    <w:p w14:paraId="7E6DA702" w14:textId="77777777" w:rsidR="001F2076" w:rsidRDefault="007F3B32">
      <w:pPr>
        <w:pStyle w:val="FirstParagraph"/>
      </w:pPr>
      <w:r>
        <w:t xml:space="preserve">The purpose of this study is to estimate the </w:t>
      </w:r>
      <w:proofErr w:type="spellStart"/>
      <w:r>
        <w:t>perfomance</w:t>
      </w:r>
      <w:proofErr w:type="spellEnd"/>
      <w:r>
        <w:t xml:space="preserve"> an LCA model in the scenario where manifest variables were partially missing.</w:t>
      </w:r>
    </w:p>
    <w:p w14:paraId="4FAD0544" w14:textId="77777777" w:rsidR="001F2076" w:rsidRDefault="007F3B32">
      <w:pPr>
        <w:pStyle w:val="BodyText"/>
      </w:pPr>
      <w:r>
        <w:t xml:space="preserve">In this study, we created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as three covariates for latent class </w:t>
      </w:r>
      <m:oMath>
        <m:r>
          <w:rPr>
            <w:rFonts w:ascii="Cambria Math" w:hAnsi="Cambria Math"/>
          </w:rPr>
          <m:t>C</m:t>
        </m:r>
      </m:oMath>
      <w:r>
        <w:t xml:space="preserve">. For simplicity,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were three manifest variables whose data generation pr</w:t>
      </w:r>
      <w:proofErr w:type="spellStart"/>
      <w:r>
        <w:t>ocesses</w:t>
      </w:r>
      <w:proofErr w:type="spellEnd"/>
      <w:r>
        <w:t xml:space="preserve"> are locally independent </w:t>
      </w:r>
      <w:proofErr w:type="spellStart"/>
      <w:r>
        <w:t>w.r.t.</w:t>
      </w:r>
      <w:proofErr w:type="spellEnd"/>
      <w:r>
        <w:t xml:space="preserve">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w:t>
      </w:r>
      <w:proofErr w:type="gramStart"/>
      <w:r>
        <w:t>however</w:t>
      </w:r>
      <w:proofErr w:type="gramEnd"/>
      <w:r>
        <w:t xml:space="preserve"> were not completely observed; its observation rate (represented by the binary variable obs_rate) are different for </w:t>
      </w:r>
      <m:oMath>
        <m:r>
          <w:rPr>
            <w:rFonts w:ascii="Cambria Math" w:hAnsi="Cambria Math"/>
          </w:rPr>
          <m:t>C</m:t>
        </m:r>
        <m:r>
          <m:rPr>
            <m:sty m:val="p"/>
          </m:rPr>
          <w:rPr>
            <w:rFonts w:ascii="Cambria Math" w:hAnsi="Cambria Math"/>
          </w:rPr>
          <m:t>=</m:t>
        </m:r>
        <m:r>
          <w:rPr>
            <w:rFonts w:ascii="Cambria Math" w:hAnsi="Cambria Math"/>
          </w:rPr>
          <m:t>0</m:t>
        </m:r>
      </m:oMath>
      <w:r>
        <w:t xml:space="preserve"> and </w:t>
      </w:r>
      <m:oMath>
        <m:r>
          <w:rPr>
            <w:rFonts w:ascii="Cambria Math" w:hAnsi="Cambria Math"/>
          </w:rPr>
          <m:t>C</m:t>
        </m:r>
        <m:r>
          <m:rPr>
            <m:sty m:val="p"/>
          </m:rPr>
          <w:rPr>
            <w:rFonts w:ascii="Cambria Math" w:hAnsi="Cambria Math"/>
          </w:rPr>
          <m:t>=</m:t>
        </m:r>
        <m:r>
          <w:rPr>
            <w:rFonts w:ascii="Cambria Math" w:hAnsi="Cambria Math"/>
          </w:rPr>
          <m:t>1</m:t>
        </m:r>
      </m:oMath>
      <w:r>
        <w:t>.</w:t>
      </w:r>
    </w:p>
    <w:p w14:paraId="3BAFE030" w14:textId="77777777" w:rsidR="001F2076" w:rsidRDefault="007F3B32">
      <w:pPr>
        <w:pStyle w:val="BodyText"/>
      </w:pPr>
      <w:r>
        <w:t xml:space="preserve">The data generation process was done </w:t>
      </w:r>
      <w:proofErr w:type="gramStart"/>
      <w:r>
        <w:t>in  version</w:t>
      </w:r>
      <w:proofErr w:type="gramEnd"/>
      <w:r>
        <w:t xml:space="preserve"> 4.1 (R Core Team 2021) as below:</w:t>
      </w:r>
    </w:p>
    <w:p w14:paraId="65386D26" w14:textId="77777777" w:rsidR="001F2076" w:rsidRDefault="007F3B32">
      <w:pPr>
        <w:pStyle w:val="SourceCode"/>
      </w:pPr>
      <w:r>
        <w:rPr>
          <w:rStyle w:val="CommentTok"/>
        </w:rPr>
        <w:t xml:space="preserve"># </w:t>
      </w:r>
      <w:proofErr w:type="spellStart"/>
      <w:r>
        <w:rPr>
          <w:rStyle w:val="CommentTok"/>
        </w:rPr>
        <w:t>Misc</w:t>
      </w:r>
      <w:proofErr w:type="spellEnd"/>
      <w:r>
        <w:rPr>
          <w:rStyle w:val="CommentTok"/>
        </w:rPr>
        <w:t xml:space="preserve"> function</w:t>
      </w:r>
      <w:r>
        <w:br/>
      </w:r>
      <w:proofErr w:type="spellStart"/>
      <w:r>
        <w:rPr>
          <w:rStyle w:val="NormalTok"/>
        </w:rPr>
        <w:t>generate_Y</w:t>
      </w:r>
      <w:proofErr w:type="spellEnd"/>
      <w:r>
        <w:rPr>
          <w:rStyle w:val="NormalTok"/>
        </w:rPr>
        <w:t xml:space="preserve"> </w:t>
      </w:r>
      <w:r>
        <w:rPr>
          <w:rStyle w:val="OtherTok"/>
        </w:rPr>
        <w:t>=</w:t>
      </w:r>
      <w:r>
        <w:rPr>
          <w:rStyle w:val="NormalTok"/>
        </w:rPr>
        <w:t xml:space="preserve"> \(C, probs){</w:t>
      </w:r>
      <w:r>
        <w:br/>
      </w:r>
      <w:r>
        <w:rPr>
          <w:rStyle w:val="NormalTok"/>
        </w:rPr>
        <w:t xml:space="preserve">  Cs </w:t>
      </w:r>
      <w:r>
        <w:rPr>
          <w:rStyle w:val="OtherTok"/>
        </w:rPr>
        <w:t>=</w:t>
      </w:r>
      <w:r>
        <w:rPr>
          <w:rStyle w:val="NormalTok"/>
        </w:rPr>
        <w:t xml:space="preserve"> </w:t>
      </w:r>
      <w:r>
        <w:rPr>
          <w:rStyle w:val="FunctionTok"/>
        </w:rPr>
        <w:t>sort</w:t>
      </w:r>
      <w:r>
        <w:rPr>
          <w:rStyle w:val="NormalTok"/>
        </w:rPr>
        <w:t>(</w:t>
      </w:r>
      <w:r>
        <w:rPr>
          <w:rStyle w:val="FunctionTok"/>
        </w:rPr>
        <w:t>unique</w:t>
      </w:r>
      <w:r>
        <w:rPr>
          <w:rStyle w:val="NormalTok"/>
        </w:rPr>
        <w:t>(C))</w:t>
      </w:r>
      <w:r>
        <w:br/>
      </w:r>
      <w:r>
        <w:rPr>
          <w:rStyle w:val="NormalTok"/>
        </w:rPr>
        <w:t xml:space="preserve">  </w:t>
      </w:r>
      <w:proofErr w:type="spellStart"/>
      <w:r>
        <w:rPr>
          <w:rStyle w:val="FunctionTok"/>
        </w:rPr>
        <w:t>sapply</w:t>
      </w:r>
      <w:proofErr w:type="spellEnd"/>
      <w:r>
        <w:rPr>
          <w:rStyle w:val="NormalTok"/>
        </w:rPr>
        <w:t xml:space="preserve">(C, \(c) </w:t>
      </w:r>
      <w:proofErr w:type="spellStart"/>
      <w:r>
        <w:rPr>
          <w:rStyle w:val="FunctionTok"/>
        </w:rPr>
        <w:t>rbinom</w:t>
      </w:r>
      <w:proofErr w:type="spellEnd"/>
      <w:r>
        <w:rPr>
          <w:rStyle w:val="NormalTok"/>
        </w:rPr>
        <w:t>(</w:t>
      </w:r>
      <w:r>
        <w:rPr>
          <w:rStyle w:val="DecValTok"/>
        </w:rPr>
        <w:t>1</w:t>
      </w:r>
      <w:r>
        <w:rPr>
          <w:rStyle w:val="NormalTok"/>
        </w:rPr>
        <w:t>,</w:t>
      </w:r>
      <w:r>
        <w:rPr>
          <w:rStyle w:val="DecValTok"/>
        </w:rPr>
        <w:t>1</w:t>
      </w:r>
      <w:r>
        <w:rPr>
          <w:rStyle w:val="NormalTok"/>
        </w:rPr>
        <w:t>, probs[Cs</w:t>
      </w:r>
      <w:r>
        <w:rPr>
          <w:rStyle w:val="SpecialCharTok"/>
        </w:rPr>
        <w:t>==</w:t>
      </w:r>
      <w:r>
        <w:rPr>
          <w:rStyle w:val="NormalTok"/>
        </w:rPr>
        <w:t>c]))</w:t>
      </w:r>
      <w:r>
        <w:br/>
      </w:r>
      <w:r>
        <w:rPr>
          <w:rStyle w:val="NormalTok"/>
        </w:rPr>
        <w:t>}</w:t>
      </w:r>
      <w:r>
        <w:br/>
      </w:r>
      <w:r>
        <w:br/>
      </w:r>
      <w:r>
        <w:rPr>
          <w:rStyle w:val="CommentTok"/>
        </w:rPr>
        <w:t># Sample size</w:t>
      </w:r>
      <w:r>
        <w:br/>
      </w:r>
      <w:r>
        <w:rPr>
          <w:rStyle w:val="NormalTok"/>
        </w:rPr>
        <w:t xml:space="preserve">N        </w:t>
      </w:r>
      <w:r>
        <w:rPr>
          <w:rStyle w:val="OtherTok"/>
        </w:rPr>
        <w:t>=</w:t>
      </w:r>
      <w:r>
        <w:rPr>
          <w:rStyle w:val="NormalTok"/>
        </w:rPr>
        <w:t xml:space="preserve"> </w:t>
      </w:r>
      <w:r>
        <w:rPr>
          <w:rStyle w:val="DecValTok"/>
        </w:rPr>
        <w:t>1000</w:t>
      </w:r>
      <w:r>
        <w:rPr>
          <w:rStyle w:val="NormalTok"/>
        </w:rPr>
        <w:t xml:space="preserve"> </w:t>
      </w:r>
      <w:r>
        <w:br/>
      </w:r>
      <w:r>
        <w:br/>
      </w:r>
      <w:r>
        <w:rPr>
          <w:rStyle w:val="CommentTok"/>
        </w:rPr>
        <w:t># Create data with 3 predictors, X, X2, and X3</w:t>
      </w:r>
      <w:r>
        <w:br/>
      </w:r>
      <w:r>
        <w:rPr>
          <w:rStyle w:val="NormalTok"/>
        </w:rPr>
        <w:t xml:space="preserve">X        </w:t>
      </w:r>
      <w:r>
        <w:rPr>
          <w:rStyle w:val="OtherTok"/>
        </w:rPr>
        <w:t>=</w:t>
      </w:r>
      <w:r>
        <w:rPr>
          <w:rStyle w:val="NormalTok"/>
        </w:rPr>
        <w:t xml:space="preserve">  </w:t>
      </w:r>
      <w:proofErr w:type="spellStart"/>
      <w:r>
        <w:rPr>
          <w:rStyle w:val="FunctionTok"/>
        </w:rPr>
        <w:t>rnorm</w:t>
      </w:r>
      <w:proofErr w:type="spellEnd"/>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X2       </w:t>
      </w:r>
      <w:r>
        <w:rPr>
          <w:rStyle w:val="OtherTok"/>
        </w:rPr>
        <w:t>=</w:t>
      </w:r>
      <w:r>
        <w:rPr>
          <w:rStyle w:val="NormalTok"/>
        </w:rPr>
        <w:t xml:space="preserve">  </w:t>
      </w:r>
      <w:proofErr w:type="spellStart"/>
      <w:r>
        <w:rPr>
          <w:rStyle w:val="FunctionTok"/>
        </w:rPr>
        <w:t>rnorm</w:t>
      </w:r>
      <w:proofErr w:type="spellEnd"/>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X3       </w:t>
      </w:r>
      <w:r>
        <w:rPr>
          <w:rStyle w:val="OtherTok"/>
        </w:rPr>
        <w:t>=</w:t>
      </w:r>
      <w:r>
        <w:rPr>
          <w:rStyle w:val="NormalTok"/>
        </w:rPr>
        <w:t xml:space="preserve"> </w:t>
      </w:r>
      <w:proofErr w:type="spellStart"/>
      <w:r>
        <w:rPr>
          <w:rStyle w:val="FunctionTok"/>
        </w:rPr>
        <w:t>rbinom</w:t>
      </w:r>
      <w:proofErr w:type="spellEnd"/>
      <w:r>
        <w:rPr>
          <w:rStyle w:val="NormalTok"/>
        </w:rPr>
        <w:t xml:space="preserve">(N, </w:t>
      </w:r>
      <w:r>
        <w:rPr>
          <w:rStyle w:val="DecValTok"/>
        </w:rPr>
        <w:t>1</w:t>
      </w:r>
      <w:r>
        <w:rPr>
          <w:rStyle w:val="NormalTok"/>
        </w:rPr>
        <w:t>, .</w:t>
      </w:r>
      <w:r>
        <w:rPr>
          <w:rStyle w:val="DecValTok"/>
        </w:rPr>
        <w:t>3</w:t>
      </w:r>
      <w:r>
        <w:rPr>
          <w:rStyle w:val="NormalTok"/>
        </w:rPr>
        <w:t>)</w:t>
      </w:r>
      <w:r>
        <w:br/>
      </w:r>
      <w:r>
        <w:br/>
      </w:r>
      <w:r>
        <w:rPr>
          <w:rStyle w:val="CommentTok"/>
        </w:rPr>
        <w:t># Create latent class</w:t>
      </w:r>
      <w:r>
        <w:br/>
      </w:r>
      <w:r>
        <w:rPr>
          <w:rStyle w:val="NormalTok"/>
        </w:rPr>
        <w:t xml:space="preserve">probs    </w:t>
      </w:r>
      <w:r>
        <w:rPr>
          <w:rStyle w:val="OtherTok"/>
        </w:rPr>
        <w:t>=</w:t>
      </w:r>
      <w:r>
        <w:rPr>
          <w:rStyle w:val="NormalTok"/>
        </w:rPr>
        <w:t xml:space="preserve"> </w:t>
      </w:r>
      <w:proofErr w:type="spellStart"/>
      <w:r>
        <w:rPr>
          <w:rStyle w:val="FunctionTok"/>
        </w:rPr>
        <w:t>plogis</w:t>
      </w:r>
      <w:proofErr w:type="spellEnd"/>
      <w:r>
        <w:rPr>
          <w:rStyle w:val="NormalTok"/>
        </w:rPr>
        <w:t>(</w:t>
      </w:r>
      <w:r>
        <w:rPr>
          <w:rStyle w:val="DecValTok"/>
        </w:rPr>
        <w:t>3</w:t>
      </w:r>
      <w:r>
        <w:rPr>
          <w:rStyle w:val="SpecialCharTok"/>
        </w:rPr>
        <w:t>*</w:t>
      </w:r>
      <w:r>
        <w:rPr>
          <w:rStyle w:val="NormalTok"/>
        </w:rPr>
        <w:t>X</w:t>
      </w:r>
      <w:r>
        <w:rPr>
          <w:rStyle w:val="SpecialCharTok"/>
        </w:rPr>
        <w:t>+</w:t>
      </w:r>
      <w:r>
        <w:rPr>
          <w:rStyle w:val="NormalTok"/>
        </w:rPr>
        <w:t>X2</w:t>
      </w:r>
      <w:r>
        <w:rPr>
          <w:rStyle w:val="SpecialCharTok"/>
        </w:rPr>
        <w:t>+</w:t>
      </w:r>
      <w:r>
        <w:rPr>
          <w:rStyle w:val="DecValTok"/>
        </w:rPr>
        <w:t>5</w:t>
      </w:r>
      <w:r>
        <w:rPr>
          <w:rStyle w:val="SpecialCharTok"/>
        </w:rPr>
        <w:t>*</w:t>
      </w:r>
      <w:r>
        <w:rPr>
          <w:rStyle w:val="NormalTok"/>
        </w:rPr>
        <w:t>X3</w:t>
      </w:r>
      <w:r>
        <w:rPr>
          <w:rStyle w:val="DecValTok"/>
        </w:rPr>
        <w:t>-1</w:t>
      </w:r>
      <w:r>
        <w:rPr>
          <w:rStyle w:val="NormalTok"/>
        </w:rPr>
        <w:t>)</w:t>
      </w:r>
      <w:r>
        <w:br/>
      </w:r>
      <w:r>
        <w:rPr>
          <w:rStyle w:val="NormalTok"/>
        </w:rPr>
        <w:t xml:space="preserve">C        </w:t>
      </w:r>
      <w:r>
        <w:rPr>
          <w:rStyle w:val="OtherTok"/>
        </w:rPr>
        <w:t>=</w:t>
      </w:r>
      <w:r>
        <w:rPr>
          <w:rStyle w:val="NormalTok"/>
        </w:rPr>
        <w:t xml:space="preserve"> </w:t>
      </w:r>
      <w:proofErr w:type="spellStart"/>
      <w:r>
        <w:rPr>
          <w:rStyle w:val="FunctionTok"/>
        </w:rPr>
        <w:t>sapply</w:t>
      </w:r>
      <w:proofErr w:type="spellEnd"/>
      <w:r>
        <w:rPr>
          <w:rStyle w:val="NormalTok"/>
        </w:rPr>
        <w:t xml:space="preserve">(probs, \(p) </w:t>
      </w:r>
      <w:proofErr w:type="spellStart"/>
      <w:r>
        <w:rPr>
          <w:rStyle w:val="FunctionTok"/>
        </w:rPr>
        <w:t>rbinom</w:t>
      </w:r>
      <w:proofErr w:type="spellEnd"/>
      <w:r>
        <w:rPr>
          <w:rStyle w:val="NormalTok"/>
        </w:rPr>
        <w:t>(</w:t>
      </w:r>
      <w:r>
        <w:rPr>
          <w:rStyle w:val="DecValTok"/>
        </w:rPr>
        <w:t>1</w:t>
      </w:r>
      <w:r>
        <w:rPr>
          <w:rStyle w:val="NormalTok"/>
        </w:rPr>
        <w:t>,</w:t>
      </w:r>
      <w:r>
        <w:rPr>
          <w:rStyle w:val="DecValTok"/>
        </w:rPr>
        <w:t>1</w:t>
      </w:r>
      <w:r>
        <w:rPr>
          <w:rStyle w:val="NormalTok"/>
        </w:rPr>
        <w:t>,p))</w:t>
      </w:r>
      <w:r>
        <w:br/>
      </w:r>
      <w:r>
        <w:br/>
      </w:r>
      <w:r>
        <w:rPr>
          <w:rStyle w:val="CommentTok"/>
        </w:rPr>
        <w:t># Manifest variables</w:t>
      </w:r>
      <w:r>
        <w:br/>
      </w:r>
      <w:r>
        <w:rPr>
          <w:rStyle w:val="NormalTok"/>
        </w:rPr>
        <w:t xml:space="preserve">Y1       </w:t>
      </w:r>
      <w:r>
        <w:rPr>
          <w:rStyle w:val="OtherTok"/>
        </w:rPr>
        <w:t>=</w:t>
      </w:r>
      <w:r>
        <w:rPr>
          <w:rStyle w:val="NormalTok"/>
        </w:rPr>
        <w:t xml:space="preserve"> </w:t>
      </w:r>
      <w:proofErr w:type="spellStart"/>
      <w:r>
        <w:rPr>
          <w:rStyle w:val="FunctionTok"/>
        </w:rPr>
        <w:t>generate_Y</w:t>
      </w:r>
      <w:proofErr w:type="spellEnd"/>
      <w:r>
        <w:rPr>
          <w:rStyle w:val="NormalTok"/>
        </w:rPr>
        <w:t xml:space="preserve">(C,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Y2       </w:t>
      </w:r>
      <w:r>
        <w:rPr>
          <w:rStyle w:val="OtherTok"/>
        </w:rPr>
        <w:t>=</w:t>
      </w:r>
      <w:r>
        <w:rPr>
          <w:rStyle w:val="NormalTok"/>
        </w:rPr>
        <w:t xml:space="preserve"> </w:t>
      </w:r>
      <w:proofErr w:type="spellStart"/>
      <w:r>
        <w:rPr>
          <w:rStyle w:val="FunctionTok"/>
        </w:rPr>
        <w:t>generate_Y</w:t>
      </w:r>
      <w:proofErr w:type="spellEnd"/>
      <w:r>
        <w:rPr>
          <w:rStyle w:val="NormalTok"/>
        </w:rPr>
        <w:t xml:space="preserve">(C, </w:t>
      </w:r>
      <w:r>
        <w:rPr>
          <w:rStyle w:val="FunctionTok"/>
        </w:rPr>
        <w:t>c</w:t>
      </w:r>
      <w:r>
        <w:rPr>
          <w:rStyle w:val="NormalTok"/>
        </w:rPr>
        <w:t>(.</w:t>
      </w:r>
      <w:r>
        <w:rPr>
          <w:rStyle w:val="DecValTok"/>
        </w:rPr>
        <w:t>01</w:t>
      </w:r>
      <w:r>
        <w:rPr>
          <w:rStyle w:val="NormalTok"/>
        </w:rPr>
        <w:t>,.</w:t>
      </w:r>
      <w:r>
        <w:rPr>
          <w:rStyle w:val="DecValTok"/>
        </w:rPr>
        <w:t>5</w:t>
      </w:r>
      <w:r>
        <w:rPr>
          <w:rStyle w:val="NormalTok"/>
        </w:rPr>
        <w:t>))</w:t>
      </w:r>
      <w:r>
        <w:br/>
      </w:r>
      <w:r>
        <w:rPr>
          <w:rStyle w:val="NormalTok"/>
        </w:rPr>
        <w:t xml:space="preserve">Y3       </w:t>
      </w:r>
      <w:r>
        <w:rPr>
          <w:rStyle w:val="OtherTok"/>
        </w:rPr>
        <w:t>=</w:t>
      </w:r>
      <w:r>
        <w:rPr>
          <w:rStyle w:val="NormalTok"/>
        </w:rPr>
        <w:t xml:space="preserve"> </w:t>
      </w:r>
      <w:proofErr w:type="spellStart"/>
      <w:r>
        <w:rPr>
          <w:rStyle w:val="FunctionTok"/>
        </w:rPr>
        <w:t>generate_Y</w:t>
      </w:r>
      <w:proofErr w:type="spellEnd"/>
      <w:r>
        <w:rPr>
          <w:rStyle w:val="NormalTok"/>
        </w:rPr>
        <w:t xml:space="preserve">(C, </w:t>
      </w:r>
      <w:r>
        <w:rPr>
          <w:rStyle w:val="FunctionTok"/>
        </w:rPr>
        <w:t>c</w:t>
      </w:r>
      <w:r>
        <w:rPr>
          <w:rStyle w:val="NormalTok"/>
        </w:rPr>
        <w:t>(.</w:t>
      </w:r>
      <w:r>
        <w:rPr>
          <w:rStyle w:val="DecValTok"/>
        </w:rPr>
        <w:t>05</w:t>
      </w:r>
      <w:r>
        <w:rPr>
          <w:rStyle w:val="NormalTok"/>
        </w:rPr>
        <w:t>,.</w:t>
      </w:r>
      <w:r>
        <w:rPr>
          <w:rStyle w:val="DecValTok"/>
        </w:rPr>
        <w:t>8</w:t>
      </w:r>
      <w:r>
        <w:rPr>
          <w:rStyle w:val="NormalTok"/>
        </w:rPr>
        <w:t>))</w:t>
      </w:r>
      <w:r>
        <w:br/>
      </w:r>
      <w:r>
        <w:br/>
      </w:r>
      <w:r>
        <w:rPr>
          <w:rStyle w:val="CommentTok"/>
        </w:rPr>
        <w:t># Simulate class-aware missing data for Y3. If obs3==1, Y3 is observed</w:t>
      </w:r>
      <w:r>
        <w:br/>
      </w:r>
      <w:proofErr w:type="spellStart"/>
      <w:r>
        <w:rPr>
          <w:rStyle w:val="NormalTok"/>
        </w:rPr>
        <w:t>obs_rate</w:t>
      </w:r>
      <w:proofErr w:type="spellEnd"/>
      <w:r>
        <w:rPr>
          <w:rStyle w:val="NormalTok"/>
        </w:rPr>
        <w:t xml:space="preserve"> </w:t>
      </w:r>
      <w:r>
        <w:rPr>
          <w:rStyle w:val="OtherTok"/>
        </w:rPr>
        <w:t>=</w:t>
      </w:r>
      <w:r>
        <w:rPr>
          <w:rStyle w:val="NormalTok"/>
        </w:rPr>
        <w:t xml:space="preserve"> </w:t>
      </w:r>
      <w:proofErr w:type="gramStart"/>
      <w:r>
        <w:rPr>
          <w:rStyle w:val="FunctionTok"/>
        </w:rPr>
        <w:t>c</w:t>
      </w:r>
      <w:r>
        <w:rPr>
          <w:rStyle w:val="NormalTok"/>
        </w:rPr>
        <w:t>(</w:t>
      </w:r>
      <w:proofErr w:type="gramEnd"/>
      <w:r>
        <w:rPr>
          <w:rStyle w:val="NormalTok"/>
        </w:rPr>
        <w:t>.</w:t>
      </w:r>
      <w:r>
        <w:rPr>
          <w:rStyle w:val="DecValTok"/>
        </w:rPr>
        <w:t>1</w:t>
      </w:r>
      <w:r>
        <w:rPr>
          <w:rStyle w:val="NormalTok"/>
        </w:rPr>
        <w:t>, .</w:t>
      </w:r>
      <w:r>
        <w:rPr>
          <w:rStyle w:val="DecValTok"/>
        </w:rPr>
        <w:t>95</w:t>
      </w:r>
      <w:r>
        <w:rPr>
          <w:rStyle w:val="NormalTok"/>
        </w:rPr>
        <w:t>)</w:t>
      </w:r>
      <w:r>
        <w:br/>
      </w:r>
      <w:r>
        <w:rPr>
          <w:rStyle w:val="NormalTok"/>
        </w:rPr>
        <w:t xml:space="preserve">obs3     </w:t>
      </w:r>
      <w:r>
        <w:rPr>
          <w:rStyle w:val="OtherTok"/>
        </w:rPr>
        <w:t>=</w:t>
      </w:r>
      <w:r>
        <w:rPr>
          <w:rStyle w:val="NormalTok"/>
        </w:rPr>
        <w:t xml:space="preserve"> </w:t>
      </w:r>
      <w:proofErr w:type="spellStart"/>
      <w:r>
        <w:rPr>
          <w:rStyle w:val="FunctionTok"/>
        </w:rPr>
        <w:t>generate_Y</w:t>
      </w:r>
      <w:proofErr w:type="spellEnd"/>
      <w:r>
        <w:rPr>
          <w:rStyle w:val="NormalTok"/>
        </w:rPr>
        <w:t xml:space="preserve">(C, </w:t>
      </w:r>
      <w:proofErr w:type="spellStart"/>
      <w:r>
        <w:rPr>
          <w:rStyle w:val="NormalTok"/>
        </w:rPr>
        <w:t>obs_rate</w:t>
      </w:r>
      <w:proofErr w:type="spellEnd"/>
      <w:r>
        <w:rPr>
          <w:rStyle w:val="NormalTok"/>
        </w:rPr>
        <w:t>)</w:t>
      </w:r>
    </w:p>
    <w:p w14:paraId="40C0313B" w14:textId="77777777" w:rsidR="001F2076" w:rsidRDefault="007F3B32">
      <w:pPr>
        <w:pStyle w:val="FirstParagraph"/>
      </w:pPr>
      <w:r>
        <w:t>The likelihood function of the model shall be</w:t>
      </w:r>
    </w:p>
    <w:p w14:paraId="282D89E3" w14:textId="77777777" w:rsidR="001F2076" w:rsidRDefault="007F3B32">
      <w:pPr>
        <w:pStyle w:val="BodyText"/>
      </w:pPr>
      <m:oMathPara>
        <m:oMathParaPr>
          <m:jc m:val="center"/>
        </m:oMathParaPr>
        <m:oMath>
          <m:r>
            <w:rPr>
              <w:rFonts w:ascii="Cambria Math" w:hAnsi="Cambria Math"/>
            </w:rPr>
            <w:lastRenderedPageBreak/>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r>
                    <m:rPr>
                      <m:sty m:val="p"/>
                    </m:rPr>
                    <w:rPr>
                      <w:rFonts w:ascii="Cambria Math" w:hAnsi="Cambria Math"/>
                    </w:rPr>
                    <m:t>(</m:t>
                  </m:r>
                </m:e>
              </m:nary>
            </m:e>
          </m:nary>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oMath>
      </m:oMathPara>
    </w:p>
    <w:p w14:paraId="760FA10E" w14:textId="77777777" w:rsidR="001F2076" w:rsidRDefault="007F3B32">
      <w:pPr>
        <w:pStyle w:val="FirstParagraph"/>
      </w:pPr>
      <w:r>
        <w:t xml:space="preserve">Consider an individual </w:t>
      </w:r>
      <m:oMath>
        <m:r>
          <w:rPr>
            <w:rFonts w:ascii="Cambria Math" w:hAnsi="Cambria Math"/>
          </w:rPr>
          <m:t>n</m:t>
        </m:r>
      </m:oMath>
      <w:r>
        <w:t xml:space="preserve">: If </w:t>
      </w:r>
      <m:oMath>
        <m:r>
          <w:rPr>
            <w:rFonts w:ascii="Cambria Math" w:hAnsi="Cambria Math"/>
          </w:rPr>
          <m:t>obs3</m:t>
        </m:r>
        <m:r>
          <m:rPr>
            <m:sty m:val="p"/>
          </m:rPr>
          <w:rPr>
            <w:rFonts w:ascii="Cambria Math" w:hAnsi="Cambria Math"/>
          </w:rPr>
          <m:t>=</m:t>
        </m:r>
        <m:r>
          <w:rPr>
            <w:rFonts w:ascii="Cambria Math" w:hAnsi="Cambria Math"/>
          </w:rPr>
          <m:t>1</m:t>
        </m:r>
      </m:oMath>
      <w:r>
        <w:t>:</w:t>
      </w:r>
    </w:p>
    <w:p w14:paraId="50A27CE3" w14:textId="77777777" w:rsidR="001F2076" w:rsidRDefault="0031727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3</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m:rPr>
                        <m:sty m:val="p"/>
                      </m:rPr>
                      <w:rPr>
                        <w:rFonts w:ascii="Cambria Math" w:hAnsi="Cambria Math"/>
                      </w:rPr>
                      <m:t>(</m:t>
                    </m:r>
                    <m:r>
                      <w:rPr>
                        <w:rFonts w:ascii="Cambria Math" w:hAnsi="Cambria Math"/>
                      </w:rPr>
                      <m:t>n</m:t>
                    </m:r>
                    <m:r>
                      <m:rPr>
                        <m:sty m:val="p"/>
                      </m:rPr>
                      <w:rPr>
                        <w:rFonts w:ascii="Cambria Math" w:hAnsi="Cambria Math"/>
                      </w:rPr>
                      <m:t>)</m:t>
                    </m:r>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e>
            </m:mr>
          </m:m>
        </m:oMath>
      </m:oMathPara>
    </w:p>
    <w:p w14:paraId="049DF266" w14:textId="77777777" w:rsidR="001F2076" w:rsidRDefault="007F3B32">
      <w:pPr>
        <w:pStyle w:val="FirstParagraph"/>
      </w:pPr>
      <w:r>
        <w:t>(</w:t>
      </w:r>
      <w:proofErr w:type="gramStart"/>
      <w:r>
        <w:t>as</w:t>
      </w:r>
      <w:proofErr w:type="gramEnd"/>
      <w: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are conditionally independent on </w:t>
      </w:r>
      <m:oMath>
        <m:r>
          <w:rPr>
            <w:rFonts w:ascii="Cambria Math" w:hAnsi="Cambria Math"/>
          </w:rPr>
          <m:t>C</m:t>
        </m:r>
      </m:oMath>
      <w:r>
        <w:t>).</w:t>
      </w:r>
    </w:p>
    <w:p w14:paraId="3A68F60B" w14:textId="77777777" w:rsidR="001F2076" w:rsidRDefault="007F3B32">
      <w:pPr>
        <w:pStyle w:val="BodyText"/>
      </w:pPr>
      <w:r>
        <w:t xml:space="preserve">Similarly, for those whose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oMath>
      <w:r>
        <w:t>:</w:t>
      </w:r>
    </w:p>
    <w:p w14:paraId="67B3C64E" w14:textId="77777777" w:rsidR="001F2076" w:rsidRDefault="0031727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m:rPr>
                        <m:sty m:val="p"/>
                      </m:rPr>
                      <w:rPr>
                        <w:rFonts w:ascii="Cambria Math" w:hAnsi="Cambria Math"/>
                      </w:rPr>
                      <m:t>(</m:t>
                    </m:r>
                    <m:r>
                      <w:rPr>
                        <w:rFonts w:ascii="Cambria Math" w:hAnsi="Cambria Math"/>
                      </w:rPr>
                      <m:t>n</m:t>
                    </m:r>
                    <m:r>
                      <m:rPr>
                        <m:sty m:val="p"/>
                      </m:rPr>
                      <w:rPr>
                        <w:rFonts w:ascii="Cambria Math" w:hAnsi="Cambria Math"/>
                      </w:rPr>
                      <m:t>)</m:t>
                    </m:r>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e>
            </m:mr>
          </m:m>
        </m:oMath>
      </m:oMathPara>
    </w:p>
    <w:p w14:paraId="76CB9505" w14:textId="77777777" w:rsidR="001F2076" w:rsidRDefault="007F3B32">
      <w:pPr>
        <w:pStyle w:val="FirstParagraph"/>
      </w:pPr>
      <w:r>
        <w:t xml:space="preserve">We considered five sets of prior distribution for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and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corresponding for the level of prior knowledge. The formulation of priors follow the syntax in @ref(</w:t>
      </w:r>
      <w:proofErr w:type="gramStart"/>
      <w:r>
        <w:t>eq:priors</w:t>
      </w:r>
      <w:proofErr w:type="gramEnd"/>
      <w:r>
        <w:t>-response).</w:t>
      </w:r>
    </w:p>
    <w:p w14:paraId="7B20D63A" w14:textId="77777777" w:rsidR="001F2076" w:rsidRDefault="007F3B32" w:rsidP="00297C2B">
      <w:pPr>
        <w:pStyle w:val="Compact"/>
        <w:numPr>
          <w:ilvl w:val="0"/>
          <w:numId w:val="11"/>
        </w:numPr>
      </w:pPr>
      <w:r>
        <w:t>Weak prior:</w:t>
      </w:r>
    </w:p>
    <w:p w14:paraId="35C76130" w14:textId="77777777" w:rsidR="001F2076" w:rsidRDefault="0031727D">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
        </m:oMath>
      </m:oMathPara>
    </w:p>
    <w:p w14:paraId="3CE83A7D" w14:textId="77777777" w:rsidR="001F2076" w:rsidRDefault="007F3B32" w:rsidP="00297C2B">
      <w:pPr>
        <w:pStyle w:val="Compact"/>
        <w:numPr>
          <w:ilvl w:val="0"/>
          <w:numId w:val="12"/>
        </w:numPr>
      </w:pPr>
      <w:r>
        <w:t>Good but conservative knowledge for observation rate, weak prior for manifest variables:</w:t>
      </w:r>
    </w:p>
    <w:p w14:paraId="3418B543" w14:textId="77777777" w:rsidR="001F2076" w:rsidRDefault="0031727D">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
        </m:oMath>
      </m:oMathPara>
    </w:p>
    <w:p w14:paraId="32EE9BBD" w14:textId="77777777" w:rsidR="001F2076" w:rsidRDefault="007F3B32" w:rsidP="00297C2B">
      <w:pPr>
        <w:numPr>
          <w:ilvl w:val="0"/>
          <w:numId w:val="13"/>
        </w:numPr>
      </w:pPr>
      <w:r>
        <w:t>Good but conservative knowledge for observation rate and manifest variables:</w:t>
      </w:r>
      <w:r>
        <w:br/>
      </w:r>
    </w:p>
    <w:p w14:paraId="06D977AF" w14:textId="77777777" w:rsidR="001F2076" w:rsidRDefault="0031727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.7</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
        </m:oMath>
      </m:oMathPara>
    </w:p>
    <w:p w14:paraId="5FD115C4" w14:textId="77777777" w:rsidR="001F2076" w:rsidRDefault="007F3B32" w:rsidP="00297C2B">
      <w:pPr>
        <w:numPr>
          <w:ilvl w:val="0"/>
          <w:numId w:val="13"/>
        </w:numPr>
      </w:pPr>
      <w:r>
        <w:lastRenderedPageBreak/>
        <w:t>Very strong knowledge for observation rate, weak prior for manifest variables:</w:t>
      </w:r>
      <w:r>
        <w:br/>
      </w:r>
    </w:p>
    <w:p w14:paraId="733CEBF2" w14:textId="77777777" w:rsidR="001F2076" w:rsidRDefault="0031727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.25</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
        </m:oMath>
      </m:oMathPara>
    </w:p>
    <w:p w14:paraId="0334AAC3" w14:textId="77777777" w:rsidR="001F2076" w:rsidRDefault="007F3B32" w:rsidP="00297C2B">
      <w:pPr>
        <w:numPr>
          <w:ilvl w:val="0"/>
          <w:numId w:val="13"/>
        </w:numPr>
      </w:pPr>
      <w:r>
        <w:t>Very strong knowledge for observation rate and manifest variables:</w:t>
      </w:r>
      <w:r>
        <w:br/>
      </w:r>
    </w:p>
    <w:p w14:paraId="1687BA75" w14:textId="77777777" w:rsidR="001F2076" w:rsidRDefault="0031727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.2</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.2</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.25</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
        </m:oMath>
      </m:oMathPara>
    </w:p>
    <w:p w14:paraId="7008D626" w14:textId="77777777" w:rsidR="001F2076" w:rsidRDefault="007F3B32">
      <w:pPr>
        <w:pStyle w:val="FirstParagraph"/>
      </w:pPr>
      <w:r>
        <w:t xml:space="preserve">All models were fitted under the probabilistic </w:t>
      </w:r>
      <w:proofErr w:type="gramStart"/>
      <w:r>
        <w:t>language  version</w:t>
      </w:r>
      <w:proofErr w:type="gramEnd"/>
      <w:r>
        <w:t xml:space="preserve"> 2.26 (Stan Development Team 2021b) via  </w:t>
      </w:r>
      <w:proofErr w:type="spellStart"/>
      <w:r>
        <w:t>inferface</w:t>
      </w:r>
      <w:proofErr w:type="spellEnd"/>
      <w:r>
        <w:t xml:space="preserve"> (Stan Development Team 2021a).</w:t>
      </w:r>
    </w:p>
    <w:p w14:paraId="1E0C50C4" w14:textId="77777777" w:rsidR="001F2076" w:rsidRDefault="007F3B32">
      <w:pPr>
        <w:pStyle w:val="BodyText"/>
      </w:pPr>
      <w:r>
        <w:rPr>
          <w:b/>
          <w:bCs/>
        </w:rPr>
        <w:t xml:space="preserve">Fit results: Hmmm, I remember there is a package showing estimations for one parameter from different </w:t>
      </w:r>
      <w:proofErr w:type="gramStart"/>
      <w:r>
        <w:rPr>
          <w:b/>
          <w:bCs/>
        </w:rPr>
        <w:t>models</w:t>
      </w:r>
      <w:proofErr w:type="gramEnd"/>
      <w:r>
        <w:rPr>
          <w:b/>
          <w:bCs/>
        </w:rPr>
        <w:t xml:space="preserve"> side-by-side in one </w:t>
      </w:r>
      <w:proofErr w:type="spellStart"/>
      <w:r>
        <w:rPr>
          <w:b/>
          <w:bCs/>
        </w:rPr>
        <w:t>ggplot</w:t>
      </w:r>
      <w:proofErr w:type="spellEnd"/>
      <w:r>
        <w:rPr>
          <w:b/>
          <w:bCs/>
        </w:rPr>
        <w:t>. Do you remember?</w:t>
      </w:r>
      <w:bookmarkEnd w:id="54"/>
    </w:p>
    <w:sectPr w:rsidR="001F2076">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C128E" w14:textId="77777777" w:rsidR="0031727D" w:rsidRDefault="0031727D">
      <w:pPr>
        <w:spacing w:after="0"/>
      </w:pPr>
      <w:r>
        <w:separator/>
      </w:r>
    </w:p>
  </w:endnote>
  <w:endnote w:type="continuationSeparator" w:id="0">
    <w:p w14:paraId="7195EF44" w14:textId="77777777" w:rsidR="0031727D" w:rsidRDefault="003172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11088" w14:textId="77777777" w:rsidR="0031727D" w:rsidRDefault="0031727D">
      <w:r>
        <w:separator/>
      </w:r>
    </w:p>
  </w:footnote>
  <w:footnote w:type="continuationSeparator" w:id="0">
    <w:p w14:paraId="5C7E9AD6" w14:textId="77777777" w:rsidR="0031727D" w:rsidRDefault="00317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A32C373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1C16BD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ADD48F5"/>
    <w:multiLevelType w:val="multilevel"/>
    <w:tmpl w:val="0409001D"/>
    <w:styleLink w:val="CurrentList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6B6750"/>
    <w:multiLevelType w:val="multilevel"/>
    <w:tmpl w:val="3754F5F6"/>
    <w:styleLink w:val="CurrentList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C1AE401"/>
    <w:multiLevelType w:val="multilevel"/>
    <w:tmpl w:val="27A2CE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1D3195C"/>
    <w:multiLevelType w:val="multilevel"/>
    <w:tmpl w:val="E82C6C0E"/>
    <w:styleLink w:val="CurrentList8"/>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9C5B40"/>
    <w:multiLevelType w:val="multilevel"/>
    <w:tmpl w:val="3CD2A5FA"/>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735390"/>
    <w:multiLevelType w:val="multilevel"/>
    <w:tmpl w:val="4274CC16"/>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EF5B64"/>
    <w:multiLevelType w:val="multilevel"/>
    <w:tmpl w:val="0409001D"/>
    <w:styleLink w:val="CurrentList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261BAD"/>
    <w:multiLevelType w:val="multilevel"/>
    <w:tmpl w:val="4712FD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47E4393D"/>
    <w:multiLevelType w:val="multilevel"/>
    <w:tmpl w:val="3CD2A5FA"/>
    <w:styleLink w:val="CurrentList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250761"/>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202B5A"/>
    <w:multiLevelType w:val="multilevel"/>
    <w:tmpl w:val="3CD2A5FA"/>
    <w:styleLink w:val="CurrentList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590FC2"/>
    <w:multiLevelType w:val="multilevel"/>
    <w:tmpl w:val="4B403552"/>
    <w:lvl w:ilvl="0">
      <w:start w:val="1"/>
      <w:numFmt w:val="upperLetter"/>
      <w:pStyle w:val="AppendixH1"/>
      <w:lvlText w:val="%1"/>
      <w:lvlJc w:val="left"/>
      <w:pPr>
        <w:ind w:left="792" w:hanging="432"/>
      </w:pPr>
      <w:rPr>
        <w:rFonts w:hint="default"/>
      </w:rPr>
    </w:lvl>
    <w:lvl w:ilvl="1">
      <w:start w:val="1"/>
      <w:numFmt w:val="decimal"/>
      <w:pStyle w:val="AppendixH2"/>
      <w:lvlText w:val="%1.%2"/>
      <w:lvlJc w:val="left"/>
      <w:pPr>
        <w:ind w:left="936" w:hanging="576"/>
      </w:pPr>
      <w:rPr>
        <w:rFonts w:hint="default"/>
      </w:rPr>
    </w:lvl>
    <w:lvl w:ilvl="2">
      <w:start w:val="1"/>
      <w:numFmt w:val="decimal"/>
      <w:pStyle w:val="AppendixH3"/>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6" w15:restartNumberingAfterBreak="0">
    <w:nsid w:val="4DFC0B58"/>
    <w:multiLevelType w:val="multilevel"/>
    <w:tmpl w:val="3CD2A5FA"/>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F24206"/>
    <w:multiLevelType w:val="multilevel"/>
    <w:tmpl w:val="11A0A522"/>
    <w:styleLink w:val="CurrentList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453628"/>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315DCA"/>
    <w:multiLevelType w:val="multilevel"/>
    <w:tmpl w:val="A51A64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74D32034"/>
    <w:multiLevelType w:val="multilevel"/>
    <w:tmpl w:val="3A5661F8"/>
    <w:lvl w:ilvl="0">
      <w:start w:val="1"/>
      <w:numFmt w:val="none"/>
      <w:pStyle w:val="Dummy"/>
      <w:lvlText w:val="%1"/>
      <w:lvlJc w:val="left"/>
      <w:pPr>
        <w:ind w:left="0" w:firstLine="0"/>
      </w:pPr>
      <w:rPr>
        <w:rFonts w:hint="default"/>
      </w:rPr>
    </w:lvl>
    <w:lvl w:ilvl="1">
      <w:start w:val="1"/>
      <w:numFmt w:val="decimal"/>
      <w:pStyle w:val="Heading1"/>
      <w:lvlText w:val="%1%2."/>
      <w:lvlJc w:val="left"/>
      <w:pPr>
        <w:ind w:left="792" w:hanging="432"/>
      </w:pPr>
      <w:rPr>
        <w:rFonts w:hint="default"/>
      </w:rPr>
    </w:lvl>
    <w:lvl w:ilvl="2">
      <w:start w:val="1"/>
      <w:numFmt w:val="decimal"/>
      <w:pStyle w:val="Heading2"/>
      <w:lvlText w:val="%1%2.%3."/>
      <w:lvlJc w:val="left"/>
      <w:pPr>
        <w:ind w:left="1224" w:hanging="504"/>
      </w:pPr>
      <w:rPr>
        <w:rFonts w:hint="default"/>
      </w:rPr>
    </w:lvl>
    <w:lvl w:ilvl="3">
      <w:start w:val="1"/>
      <w:numFmt w:val="decimal"/>
      <w:pStyle w:val="Heading3"/>
      <w:lvlText w:val="%1%2.%3.%4."/>
      <w:lvlJc w:val="left"/>
      <w:pPr>
        <w:ind w:left="1728" w:hanging="648"/>
      </w:pPr>
      <w:rPr>
        <w:rFonts w:hint="default"/>
      </w:rPr>
    </w:lvl>
    <w:lvl w:ilvl="4">
      <w:start w:val="1"/>
      <w:numFmt w:val="decimal"/>
      <w:pStyle w:val="Heading4"/>
      <w:lvlText w:val="%1%2.%3.%4.%5."/>
      <w:lvlJc w:val="left"/>
      <w:pPr>
        <w:ind w:left="2232" w:hanging="792"/>
      </w:pPr>
      <w:rPr>
        <w:rFonts w:hint="default"/>
      </w:rPr>
    </w:lvl>
    <w:lvl w:ilvl="5">
      <w:start w:val="1"/>
      <w:numFmt w:val="decimal"/>
      <w:pStyle w:val="Heading5"/>
      <w:lvlText w:val="%1%2.%3.%4.%5.%6."/>
      <w:lvlJc w:val="left"/>
      <w:pPr>
        <w:ind w:left="2736" w:hanging="936"/>
      </w:pPr>
      <w:rPr>
        <w:rFonts w:hint="default"/>
      </w:rPr>
    </w:lvl>
    <w:lvl w:ilvl="6">
      <w:start w:val="1"/>
      <w:numFmt w:val="decimal"/>
      <w:pStyle w:val="Heading6"/>
      <w:lvlText w:val="%1%2.%3.%4.%5.%6.%7."/>
      <w:lvlJc w:val="left"/>
      <w:pPr>
        <w:ind w:left="3240" w:hanging="1080"/>
      </w:pPr>
      <w:rPr>
        <w:rFonts w:hint="default"/>
      </w:rPr>
    </w:lvl>
    <w:lvl w:ilvl="7">
      <w:start w:val="1"/>
      <w:numFmt w:val="decimal"/>
      <w:pStyle w:val="Heading7"/>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1" w15:restartNumberingAfterBreak="0">
    <w:nsid w:val="78191783"/>
    <w:multiLevelType w:val="multilevel"/>
    <w:tmpl w:val="124C7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C65FC4"/>
    <w:multiLevelType w:val="multilevel"/>
    <w:tmpl w:val="AB70880C"/>
    <w:styleLink w:val="CurrentList9"/>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21"/>
  </w:num>
  <w:num w:numId="2">
    <w:abstractNumId w:val="3"/>
  </w:num>
  <w:num w:numId="3">
    <w:abstractNumId w:val="7"/>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9"/>
  </w:num>
  <w:num w:numId="9">
    <w:abstractNumId w:val="19"/>
  </w:num>
  <w:num w:numId="10">
    <w:abstractNumId w:val="19"/>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9"/>
  </w:num>
  <w:num w:numId="15">
    <w:abstractNumId w:val="8"/>
  </w:num>
  <w:num w:numId="16">
    <w:abstractNumId w:val="16"/>
  </w:num>
  <w:num w:numId="17">
    <w:abstractNumId w:val="14"/>
  </w:num>
  <w:num w:numId="18">
    <w:abstractNumId w:val="12"/>
  </w:num>
  <w:num w:numId="19">
    <w:abstractNumId w:val="4"/>
  </w:num>
  <w:num w:numId="20">
    <w:abstractNumId w:val="17"/>
  </w:num>
  <w:num w:numId="21">
    <w:abstractNumId w:val="6"/>
  </w:num>
  <w:num w:numId="22">
    <w:abstractNumId w:val="22"/>
  </w:num>
  <w:num w:numId="23">
    <w:abstractNumId w:val="2"/>
  </w:num>
  <w:num w:numId="24">
    <w:abstractNumId w:val="18"/>
  </w:num>
  <w:num w:numId="25">
    <w:abstractNumId w:val="15"/>
  </w:num>
  <w:num w:numId="26">
    <w:abstractNumId w:val="10"/>
  </w:num>
  <w:num w:numId="27">
    <w:abstractNumId w:val="13"/>
  </w:num>
  <w:num w:numId="28">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DA6"/>
    <w:rsid w:val="001F2076"/>
    <w:rsid w:val="001F5B14"/>
    <w:rsid w:val="00297C2B"/>
    <w:rsid w:val="0031727D"/>
    <w:rsid w:val="003701BC"/>
    <w:rsid w:val="004E29B3"/>
    <w:rsid w:val="00590D07"/>
    <w:rsid w:val="006676F1"/>
    <w:rsid w:val="006C3BFC"/>
    <w:rsid w:val="006C65B7"/>
    <w:rsid w:val="00784D58"/>
    <w:rsid w:val="007F3B32"/>
    <w:rsid w:val="008D6863"/>
    <w:rsid w:val="00B83153"/>
    <w:rsid w:val="00B86B75"/>
    <w:rsid w:val="00BC48D5"/>
    <w:rsid w:val="00C36279"/>
    <w:rsid w:val="00D72213"/>
    <w:rsid w:val="00E315A3"/>
    <w:rsid w:val="00EF15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4386"/>
  <w15:docId w15:val="{48A44581-9401-458F-8576-6A02DF6C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5B7"/>
    <w:rPr>
      <w:rFonts w:ascii="Times New Roman" w:hAnsi="Times New Roman"/>
    </w:rPr>
  </w:style>
  <w:style w:type="paragraph" w:styleId="Heading1">
    <w:name w:val="heading 1"/>
    <w:basedOn w:val="Normal"/>
    <w:next w:val="BodyText"/>
    <w:uiPriority w:val="9"/>
    <w:qFormat/>
    <w:rsid w:val="006676F1"/>
    <w:pPr>
      <w:keepNext/>
      <w:keepLines/>
      <w:numPr>
        <w:ilvl w:val="1"/>
        <w:numId w:val="28"/>
      </w:numPr>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6676F1"/>
    <w:pPr>
      <w:keepNext/>
      <w:keepLines/>
      <w:numPr>
        <w:ilvl w:val="2"/>
        <w:numId w:val="28"/>
      </w:numPr>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6676F1"/>
    <w:pPr>
      <w:keepNext/>
      <w:keepLines/>
      <w:numPr>
        <w:ilvl w:val="3"/>
        <w:numId w:val="28"/>
      </w:numPr>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6676F1"/>
    <w:pPr>
      <w:keepNext/>
      <w:keepLines/>
      <w:numPr>
        <w:ilvl w:val="4"/>
        <w:numId w:val="28"/>
      </w:numPr>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6676F1"/>
    <w:pPr>
      <w:keepNext/>
      <w:keepLines/>
      <w:numPr>
        <w:ilvl w:val="5"/>
        <w:numId w:val="28"/>
      </w:numPr>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6676F1"/>
    <w:pPr>
      <w:keepNext/>
      <w:keepLines/>
      <w:numPr>
        <w:ilvl w:val="6"/>
        <w:numId w:val="28"/>
      </w:numPr>
      <w:spacing w:before="200" w:after="0"/>
      <w:outlineLvl w:val="5"/>
    </w:pPr>
    <w:rPr>
      <w:rFonts w:eastAsiaTheme="majorEastAsia" w:cstheme="majorBidi"/>
      <w:color w:val="000000" w:themeColor="text1"/>
    </w:rPr>
  </w:style>
  <w:style w:type="paragraph" w:styleId="Heading7">
    <w:name w:val="heading 7"/>
    <w:basedOn w:val="Normal"/>
    <w:next w:val="BodyText"/>
    <w:uiPriority w:val="9"/>
    <w:unhideWhenUsed/>
    <w:qFormat/>
    <w:rsid w:val="006676F1"/>
    <w:pPr>
      <w:keepNext/>
      <w:keepLines/>
      <w:numPr>
        <w:ilvl w:val="7"/>
        <w:numId w:val="28"/>
      </w:numPr>
      <w:spacing w:before="200" w:after="0"/>
      <w:outlineLvl w:val="6"/>
    </w:pPr>
    <w:rPr>
      <w:rFonts w:eastAsiaTheme="majorEastAsia" w:cstheme="majorBidi"/>
      <w:color w:val="000000" w:themeColor="text1"/>
    </w:rPr>
  </w:style>
  <w:style w:type="paragraph" w:styleId="Heading8">
    <w:name w:val="heading 8"/>
    <w:basedOn w:val="Normal"/>
    <w:next w:val="BodyText"/>
    <w:uiPriority w:val="9"/>
    <w:unhideWhenUsed/>
    <w:qFormat/>
    <w:rsid w:val="006676F1"/>
    <w:pPr>
      <w:keepNext/>
      <w:keepLines/>
      <w:numPr>
        <w:ilvl w:val="7"/>
        <w:numId w:val="1"/>
      </w:numPr>
      <w:spacing w:before="200" w:after="0"/>
      <w:outlineLvl w:val="7"/>
    </w:pPr>
    <w:rPr>
      <w:rFonts w:eastAsiaTheme="majorEastAsia" w:cstheme="majorBidi"/>
      <w:color w:val="000000" w:themeColor="text1"/>
    </w:rPr>
  </w:style>
  <w:style w:type="paragraph" w:styleId="Heading9">
    <w:name w:val="heading 9"/>
    <w:basedOn w:val="Normal"/>
    <w:next w:val="BodyText"/>
    <w:uiPriority w:val="9"/>
    <w:unhideWhenUsed/>
    <w:qFormat/>
    <w:rsid w:val="006676F1"/>
    <w:pPr>
      <w:keepNext/>
      <w:keepLines/>
      <w:numPr>
        <w:ilvl w:val="8"/>
        <w:numId w:val="28"/>
      </w:numPr>
      <w:spacing w:before="200" w:after="0"/>
      <w:outlineLvl w:val="8"/>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65B7"/>
    <w:pPr>
      <w:spacing w:before="180" w:after="180"/>
    </w:pPr>
  </w:style>
  <w:style w:type="paragraph" w:customStyle="1" w:styleId="FirstParagraph">
    <w:name w:val="First Paragraph"/>
    <w:basedOn w:val="BodyText"/>
    <w:next w:val="BodyText"/>
    <w:qFormat/>
    <w:rsid w:val="006C65B7"/>
  </w:style>
  <w:style w:type="paragraph" w:customStyle="1" w:styleId="Compact">
    <w:name w:val="Compact"/>
    <w:basedOn w:val="BodyText"/>
    <w:qFormat/>
    <w:pPr>
      <w:spacing w:before="36" w:after="36"/>
    </w:pPr>
  </w:style>
  <w:style w:type="paragraph" w:styleId="Title">
    <w:name w:val="Title"/>
    <w:basedOn w:val="Normal"/>
    <w:next w:val="BodyText"/>
    <w:qFormat/>
    <w:rsid w:val="006C65B7"/>
    <w:pPr>
      <w:keepNext/>
      <w:keepLines/>
      <w:pBdr>
        <w:bottom w:val="single" w:sz="4" w:space="1" w:color="auto"/>
      </w:pBdr>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rsid w:val="006C65B7"/>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C65B7"/>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6C65B7"/>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C65B7"/>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6C65B7"/>
  </w:style>
  <w:style w:type="character" w:customStyle="1" w:styleId="CaptionChar">
    <w:name w:val="Caption Char"/>
    <w:basedOn w:val="DefaultParagraphFont"/>
    <w:link w:val="Caption"/>
    <w:rsid w:val="006C65B7"/>
    <w:rPr>
      <w:rFonts w:ascii="Times New Roman" w:hAnsi="Times New Roman"/>
      <w:i/>
    </w:rPr>
  </w:style>
  <w:style w:type="character" w:customStyle="1" w:styleId="VerbatimChar">
    <w:name w:val="Verbatim Char"/>
    <w:basedOn w:val="CaptionChar"/>
    <w:link w:val="SourceCode"/>
    <w:rsid w:val="009137D8"/>
    <w:rPr>
      <w:rFonts w:ascii="Consolas" w:hAnsi="Consolas"/>
      <w:i/>
      <w:color w:val="C00000"/>
      <w:sz w:val="22"/>
      <w:u w:val="none"/>
      <w:bdr w:val="none" w:sz="0" w:space="0" w:color="auto"/>
      <w:shd w:val="clear" w:color="auto" w:fill="F2F2F2" w:themeFill="background1" w:themeFillShade="F2"/>
    </w:rPr>
  </w:style>
  <w:style w:type="character" w:styleId="FootnoteReference">
    <w:name w:val="footnote reference"/>
    <w:basedOn w:val="CaptionChar"/>
    <w:rPr>
      <w:rFonts w:ascii="Times New Roman" w:hAnsi="Times New Roman"/>
      <w:i/>
      <w:vertAlign w:val="superscript"/>
    </w:rPr>
  </w:style>
  <w:style w:type="character" w:styleId="Hyperlink">
    <w:name w:val="Hyperlink"/>
    <w:basedOn w:val="CaptionChar"/>
    <w:rsid w:val="009137D8"/>
    <w:rPr>
      <w:rFonts w:ascii="Times New Roman" w:hAnsi="Times New Roman"/>
      <w:i/>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6C65B7"/>
    <w:rPr>
      <w:rFonts w:ascii="Times New Roman" w:hAnsi="Times New Roman"/>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
      </w:numPr>
    </w:pPr>
  </w:style>
  <w:style w:type="numbering" w:customStyle="1" w:styleId="Defaultol">
    <w:name w:val="Default ol"/>
    <w:basedOn w:val="NoList"/>
    <w:uiPriority w:val="99"/>
    <w:rsid w:val="005E0C3D"/>
    <w:pPr>
      <w:numPr>
        <w:numId w:val="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C65B7"/>
    <w:rPr>
      <w:rFonts w:ascii="Times New Roman" w:hAnsi="Times New Roman"/>
    </w:rPr>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u w:val="none"/>
      <w:bdr w:val="none" w:sz="0" w:space="0" w:color="auto"/>
      <w:shd w:val="clear" w:color="auto" w:fill="F8F8F8"/>
    </w:rPr>
  </w:style>
  <w:style w:type="character" w:customStyle="1" w:styleId="DataTypeTok">
    <w:name w:val="DataTypeTok"/>
    <w:basedOn w:val="VerbatimChar"/>
    <w:rPr>
      <w:rFonts w:ascii="Consolas" w:hAnsi="Consolas"/>
      <w:i/>
      <w:color w:val="204A87"/>
      <w:sz w:val="22"/>
      <w:u w:val="none"/>
      <w:bdr w:val="none" w:sz="0" w:space="0" w:color="auto"/>
      <w:shd w:val="clear" w:color="auto" w:fill="F8F8F8"/>
    </w:rPr>
  </w:style>
  <w:style w:type="character" w:customStyle="1" w:styleId="DecValTok">
    <w:name w:val="DecValTok"/>
    <w:basedOn w:val="VerbatimChar"/>
    <w:rPr>
      <w:rFonts w:ascii="Consolas" w:hAnsi="Consolas"/>
      <w:i/>
      <w:color w:val="0000CF"/>
      <w:sz w:val="22"/>
      <w:u w:val="none"/>
      <w:bdr w:val="none" w:sz="0" w:space="0" w:color="auto"/>
      <w:shd w:val="clear" w:color="auto" w:fill="F8F8F8"/>
    </w:rPr>
  </w:style>
  <w:style w:type="character" w:customStyle="1" w:styleId="BaseNTok">
    <w:name w:val="BaseNTok"/>
    <w:basedOn w:val="VerbatimChar"/>
    <w:rPr>
      <w:rFonts w:ascii="Consolas" w:hAnsi="Consolas"/>
      <w:i/>
      <w:color w:val="0000CF"/>
      <w:sz w:val="22"/>
      <w:u w:val="none"/>
      <w:bdr w:val="none" w:sz="0" w:space="0" w:color="auto"/>
      <w:shd w:val="clear" w:color="auto" w:fill="F8F8F8"/>
    </w:rPr>
  </w:style>
  <w:style w:type="character" w:customStyle="1" w:styleId="FloatTok">
    <w:name w:val="FloatTok"/>
    <w:basedOn w:val="VerbatimChar"/>
    <w:rPr>
      <w:rFonts w:ascii="Consolas" w:hAnsi="Consolas"/>
      <w:i/>
      <w:color w:val="0000CF"/>
      <w:sz w:val="22"/>
      <w:u w:val="none"/>
      <w:bdr w:val="none" w:sz="0" w:space="0" w:color="auto"/>
      <w:shd w:val="clear" w:color="auto" w:fill="F8F8F8"/>
    </w:rPr>
  </w:style>
  <w:style w:type="character" w:customStyle="1" w:styleId="ConstantTok">
    <w:name w:val="ConstantTok"/>
    <w:basedOn w:val="VerbatimChar"/>
    <w:rPr>
      <w:rFonts w:ascii="Consolas" w:hAnsi="Consolas"/>
      <w:i/>
      <w:color w:val="000000"/>
      <w:sz w:val="22"/>
      <w:u w:val="none"/>
      <w:bdr w:val="none" w:sz="0" w:space="0" w:color="auto"/>
      <w:shd w:val="clear" w:color="auto" w:fill="F8F8F8"/>
    </w:rPr>
  </w:style>
  <w:style w:type="character" w:customStyle="1" w:styleId="CharTok">
    <w:name w:val="CharTok"/>
    <w:basedOn w:val="VerbatimChar"/>
    <w:rPr>
      <w:rFonts w:ascii="Consolas" w:hAnsi="Consolas"/>
      <w:i/>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i/>
      <w:color w:val="000000"/>
      <w:sz w:val="22"/>
      <w:u w:val="none"/>
      <w:bdr w:val="none" w:sz="0" w:space="0" w:color="auto"/>
      <w:shd w:val="clear" w:color="auto" w:fill="F8F8F8"/>
    </w:rPr>
  </w:style>
  <w:style w:type="character" w:customStyle="1" w:styleId="StringTok">
    <w:name w:val="StringTok"/>
    <w:basedOn w:val="VerbatimChar"/>
    <w:rPr>
      <w:rFonts w:ascii="Consolas" w:hAnsi="Consolas"/>
      <w:i/>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i/>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i/>
      <w:color w:val="4E9A06"/>
      <w:sz w:val="22"/>
      <w:u w:val="none"/>
      <w:bdr w:val="none" w:sz="0" w:space="0" w:color="auto"/>
      <w:shd w:val="clear" w:color="auto" w:fill="F8F8F8"/>
    </w:rPr>
  </w:style>
  <w:style w:type="character" w:customStyle="1" w:styleId="ImportTok">
    <w:name w:val="ImportTok"/>
    <w:basedOn w:val="VerbatimChar"/>
    <w:rPr>
      <w:rFonts w:ascii="Consolas" w:hAnsi="Consolas"/>
      <w:i/>
      <w:color w:val="C00000"/>
      <w:sz w:val="22"/>
      <w:u w:val="none"/>
      <w:bdr w:val="none" w:sz="0" w:space="0" w:color="auto"/>
      <w:shd w:val="clear" w:color="auto" w:fill="F8F8F8"/>
    </w:rPr>
  </w:style>
  <w:style w:type="character" w:customStyle="1" w:styleId="CommentTok">
    <w:name w:val="CommentTok"/>
    <w:basedOn w:val="VerbatimChar"/>
    <w:rPr>
      <w:rFonts w:ascii="Consolas" w:hAnsi="Consolas"/>
      <w:i w:val="0"/>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val="0"/>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val="0"/>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val="0"/>
      <w:color w:val="8F5902"/>
      <w:sz w:val="22"/>
      <w:u w:val="none"/>
      <w:bdr w:val="none" w:sz="0" w:space="0" w:color="auto"/>
      <w:shd w:val="clear" w:color="auto" w:fill="F8F8F8"/>
    </w:rPr>
  </w:style>
  <w:style w:type="character" w:customStyle="1" w:styleId="OtherTok">
    <w:name w:val="OtherTok"/>
    <w:basedOn w:val="VerbatimChar"/>
    <w:rPr>
      <w:rFonts w:ascii="Consolas" w:hAnsi="Consolas"/>
      <w:i/>
      <w:color w:val="8F5902"/>
      <w:sz w:val="22"/>
      <w:u w:val="none"/>
      <w:bdr w:val="none" w:sz="0" w:space="0" w:color="auto"/>
      <w:shd w:val="clear" w:color="auto" w:fill="F8F8F8"/>
    </w:rPr>
  </w:style>
  <w:style w:type="character" w:customStyle="1" w:styleId="FunctionTok">
    <w:name w:val="FunctionTok"/>
    <w:basedOn w:val="VerbatimChar"/>
    <w:rPr>
      <w:rFonts w:ascii="Consolas" w:hAnsi="Consolas"/>
      <w:i/>
      <w:color w:val="000000"/>
      <w:sz w:val="22"/>
      <w:u w:val="none"/>
      <w:bdr w:val="none" w:sz="0" w:space="0" w:color="auto"/>
      <w:shd w:val="clear" w:color="auto" w:fill="F8F8F8"/>
    </w:rPr>
  </w:style>
  <w:style w:type="character" w:customStyle="1" w:styleId="VariableTok">
    <w:name w:val="VariableTok"/>
    <w:basedOn w:val="VerbatimChar"/>
    <w:rPr>
      <w:rFonts w:ascii="Consolas" w:hAnsi="Consolas"/>
      <w:i/>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i/>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i/>
      <w:color w:val="CE5C00"/>
      <w:sz w:val="22"/>
      <w:u w:val="none"/>
      <w:bdr w:val="none" w:sz="0" w:space="0" w:color="auto"/>
      <w:shd w:val="clear" w:color="auto" w:fill="F8F8F8"/>
    </w:rPr>
  </w:style>
  <w:style w:type="character" w:customStyle="1" w:styleId="BuiltInTok">
    <w:name w:val="BuiltInTok"/>
    <w:basedOn w:val="VerbatimChar"/>
    <w:rPr>
      <w:rFonts w:ascii="Consolas" w:hAnsi="Consolas"/>
      <w:i/>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i/>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val="0"/>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i/>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i/>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val="0"/>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val="0"/>
      <w:color w:val="8F5902"/>
      <w:sz w:val="22"/>
      <w:u w:val="none"/>
      <w:bdr w:val="none" w:sz="0" w:space="0" w:color="auto"/>
      <w:shd w:val="clear" w:color="auto" w:fill="F8F8F8"/>
    </w:rPr>
  </w:style>
  <w:style w:type="character" w:customStyle="1" w:styleId="AlertTok">
    <w:name w:val="AlertTok"/>
    <w:basedOn w:val="VerbatimChar"/>
    <w:rPr>
      <w:rFonts w:ascii="Consolas" w:hAnsi="Consolas"/>
      <w:i/>
      <w:color w:val="EF2929"/>
      <w:sz w:val="22"/>
      <w:u w:val="none"/>
      <w:bdr w:val="none" w:sz="0" w:space="0" w:color="auto"/>
      <w:shd w:val="clear" w:color="auto" w:fill="F8F8F8"/>
    </w:rPr>
  </w:style>
  <w:style w:type="character" w:customStyle="1" w:styleId="ErrorTok">
    <w:name w:val="ErrorTok"/>
    <w:basedOn w:val="VerbatimChar"/>
    <w:rPr>
      <w:rFonts w:ascii="Consolas" w:hAnsi="Consolas"/>
      <w:b/>
      <w:i/>
      <w:color w:val="A40000"/>
      <w:sz w:val="22"/>
      <w:u w:val="none"/>
      <w:bdr w:val="none" w:sz="0" w:space="0" w:color="auto"/>
      <w:shd w:val="clear" w:color="auto" w:fill="F8F8F8"/>
    </w:rPr>
  </w:style>
  <w:style w:type="character" w:customStyle="1" w:styleId="NormalTok">
    <w:name w:val="NormalTok"/>
    <w:basedOn w:val="VerbatimChar"/>
    <w:rPr>
      <w:rFonts w:ascii="Consolas" w:hAnsi="Consolas"/>
      <w:i/>
      <w:color w:val="C00000"/>
      <w:sz w:val="22"/>
      <w:u w:val="none"/>
      <w:bdr w:val="none" w:sz="0" w:space="0" w:color="auto"/>
      <w:shd w:val="clear" w:color="auto" w:fill="F8F8F8"/>
    </w:rPr>
  </w:style>
  <w:style w:type="paragraph" w:styleId="BodyText2">
    <w:name w:val="Body Text 2"/>
    <w:basedOn w:val="Normal"/>
    <w:link w:val="BodyText2Char"/>
    <w:rsid w:val="006C65B7"/>
    <w:pPr>
      <w:spacing w:after="120" w:line="480" w:lineRule="auto"/>
    </w:pPr>
  </w:style>
  <w:style w:type="character" w:customStyle="1" w:styleId="BodyText2Char">
    <w:name w:val="Body Text 2 Char"/>
    <w:basedOn w:val="DefaultParagraphFont"/>
    <w:link w:val="BodyText2"/>
    <w:rsid w:val="006C65B7"/>
    <w:rPr>
      <w:rFonts w:ascii="Times New Roman" w:hAnsi="Times New Roman"/>
    </w:rPr>
  </w:style>
  <w:style w:type="paragraph" w:styleId="BodyText3">
    <w:name w:val="Body Text 3"/>
    <w:basedOn w:val="Normal"/>
    <w:link w:val="BodyText3Char"/>
    <w:rsid w:val="006C65B7"/>
    <w:pPr>
      <w:spacing w:after="120"/>
    </w:pPr>
    <w:rPr>
      <w:sz w:val="16"/>
      <w:szCs w:val="16"/>
    </w:rPr>
  </w:style>
  <w:style w:type="character" w:customStyle="1" w:styleId="BodyText3Char">
    <w:name w:val="Body Text 3 Char"/>
    <w:basedOn w:val="DefaultParagraphFont"/>
    <w:link w:val="BodyText3"/>
    <w:rsid w:val="006C65B7"/>
    <w:rPr>
      <w:rFonts w:ascii="Times New Roman" w:hAnsi="Times New Roman"/>
      <w:sz w:val="16"/>
      <w:szCs w:val="16"/>
    </w:rPr>
  </w:style>
  <w:style w:type="paragraph" w:styleId="BodyTextIndent">
    <w:name w:val="Body Text Indent"/>
    <w:basedOn w:val="Normal"/>
    <w:link w:val="BodyTextIndentChar"/>
    <w:semiHidden/>
    <w:unhideWhenUsed/>
    <w:rsid w:val="006C65B7"/>
    <w:pPr>
      <w:spacing w:after="120"/>
      <w:ind w:left="283"/>
    </w:pPr>
  </w:style>
  <w:style w:type="character" w:customStyle="1" w:styleId="BodyTextIndentChar">
    <w:name w:val="Body Text Indent Char"/>
    <w:basedOn w:val="DefaultParagraphFont"/>
    <w:link w:val="BodyTextIndent"/>
    <w:semiHidden/>
    <w:rsid w:val="006C65B7"/>
    <w:rPr>
      <w:rFonts w:ascii="Times New Roman" w:hAnsi="Times New Roman"/>
    </w:rPr>
  </w:style>
  <w:style w:type="paragraph" w:styleId="BodyTextIndent2">
    <w:name w:val="Body Text Indent 2"/>
    <w:basedOn w:val="Normal"/>
    <w:link w:val="BodyTextIndent2Char"/>
    <w:semiHidden/>
    <w:unhideWhenUsed/>
    <w:rsid w:val="006C65B7"/>
    <w:pPr>
      <w:spacing w:after="120" w:line="480" w:lineRule="auto"/>
      <w:ind w:left="283"/>
    </w:pPr>
  </w:style>
  <w:style w:type="character" w:customStyle="1" w:styleId="BodyTextIndent2Char">
    <w:name w:val="Body Text Indent 2 Char"/>
    <w:basedOn w:val="DefaultParagraphFont"/>
    <w:link w:val="BodyTextIndent2"/>
    <w:semiHidden/>
    <w:rsid w:val="006C65B7"/>
    <w:rPr>
      <w:rFonts w:ascii="Times New Roman" w:hAnsi="Times New Roman"/>
    </w:rPr>
  </w:style>
  <w:style w:type="paragraph" w:styleId="BodyTextIndent3">
    <w:name w:val="Body Text Indent 3"/>
    <w:basedOn w:val="Normal"/>
    <w:link w:val="BodyTextIndent3Char"/>
    <w:semiHidden/>
    <w:unhideWhenUsed/>
    <w:rsid w:val="006C65B7"/>
    <w:pPr>
      <w:spacing w:after="120"/>
      <w:ind w:left="283"/>
    </w:pPr>
    <w:rPr>
      <w:sz w:val="16"/>
      <w:szCs w:val="16"/>
    </w:rPr>
  </w:style>
  <w:style w:type="character" w:customStyle="1" w:styleId="BodyTextIndent3Char">
    <w:name w:val="Body Text Indent 3 Char"/>
    <w:basedOn w:val="DefaultParagraphFont"/>
    <w:link w:val="BodyTextIndent3"/>
    <w:semiHidden/>
    <w:rsid w:val="006C65B7"/>
    <w:rPr>
      <w:rFonts w:ascii="Times New Roman" w:hAnsi="Times New Roman"/>
      <w:sz w:val="16"/>
      <w:szCs w:val="16"/>
    </w:rPr>
  </w:style>
  <w:style w:type="paragraph" w:customStyle="1" w:styleId="UnnumberedH1">
    <w:name w:val="Unnumbered H1"/>
    <w:basedOn w:val="Heading1"/>
    <w:next w:val="BodyText"/>
    <w:qFormat/>
    <w:rsid w:val="00B83153"/>
    <w:pPr>
      <w:numPr>
        <w:numId w:val="0"/>
      </w:numPr>
    </w:pPr>
  </w:style>
  <w:style w:type="numbering" w:customStyle="1" w:styleId="CurrentList1">
    <w:name w:val="Current List1"/>
    <w:uiPriority w:val="99"/>
    <w:rsid w:val="00B83153"/>
    <w:pPr>
      <w:numPr>
        <w:numId w:val="14"/>
      </w:numPr>
    </w:pPr>
  </w:style>
  <w:style w:type="paragraph" w:customStyle="1" w:styleId="UnnumberedH2">
    <w:name w:val="Unnumbered H2"/>
    <w:basedOn w:val="Heading5"/>
    <w:next w:val="BodyText"/>
    <w:autoRedefine/>
    <w:qFormat/>
    <w:rsid w:val="00D72213"/>
    <w:pPr>
      <w:numPr>
        <w:ilvl w:val="0"/>
        <w:numId w:val="0"/>
      </w:numPr>
    </w:pPr>
  </w:style>
  <w:style w:type="numbering" w:customStyle="1" w:styleId="CurrentList2">
    <w:name w:val="Current List2"/>
    <w:uiPriority w:val="99"/>
    <w:rsid w:val="00D72213"/>
    <w:pPr>
      <w:numPr>
        <w:numId w:val="15"/>
      </w:numPr>
    </w:pPr>
  </w:style>
  <w:style w:type="numbering" w:customStyle="1" w:styleId="CurrentList3">
    <w:name w:val="Current List3"/>
    <w:uiPriority w:val="99"/>
    <w:rsid w:val="00D72213"/>
    <w:pPr>
      <w:numPr>
        <w:numId w:val="16"/>
      </w:numPr>
    </w:pPr>
  </w:style>
  <w:style w:type="numbering" w:customStyle="1" w:styleId="CurrentList4">
    <w:name w:val="Current List4"/>
    <w:uiPriority w:val="99"/>
    <w:rsid w:val="00D72213"/>
    <w:pPr>
      <w:numPr>
        <w:numId w:val="17"/>
      </w:numPr>
    </w:pPr>
  </w:style>
  <w:style w:type="numbering" w:customStyle="1" w:styleId="CurrentList5">
    <w:name w:val="Current List5"/>
    <w:uiPriority w:val="99"/>
    <w:rsid w:val="00D72213"/>
    <w:pPr>
      <w:numPr>
        <w:numId w:val="18"/>
      </w:numPr>
    </w:pPr>
  </w:style>
  <w:style w:type="numbering" w:customStyle="1" w:styleId="CurrentList6">
    <w:name w:val="Current List6"/>
    <w:uiPriority w:val="99"/>
    <w:rsid w:val="00D72213"/>
    <w:pPr>
      <w:numPr>
        <w:numId w:val="19"/>
      </w:numPr>
    </w:pPr>
  </w:style>
  <w:style w:type="paragraph" w:customStyle="1" w:styleId="AppendixH1">
    <w:name w:val="Appendix H1"/>
    <w:basedOn w:val="Heading1"/>
    <w:next w:val="BodyText"/>
    <w:qFormat/>
    <w:rsid w:val="00012DA6"/>
    <w:pPr>
      <w:numPr>
        <w:numId w:val="25"/>
      </w:numPr>
    </w:pPr>
  </w:style>
  <w:style w:type="numbering" w:customStyle="1" w:styleId="CurrentList7">
    <w:name w:val="Current List7"/>
    <w:uiPriority w:val="99"/>
    <w:rsid w:val="00EF15B1"/>
    <w:pPr>
      <w:numPr>
        <w:numId w:val="20"/>
      </w:numPr>
    </w:pPr>
  </w:style>
  <w:style w:type="numbering" w:customStyle="1" w:styleId="CurrentList8">
    <w:name w:val="Current List8"/>
    <w:uiPriority w:val="99"/>
    <w:rsid w:val="006676F1"/>
    <w:pPr>
      <w:numPr>
        <w:numId w:val="21"/>
      </w:numPr>
    </w:pPr>
  </w:style>
  <w:style w:type="numbering" w:customStyle="1" w:styleId="CurrentList9">
    <w:name w:val="Current List9"/>
    <w:uiPriority w:val="99"/>
    <w:rsid w:val="006676F1"/>
    <w:pPr>
      <w:numPr>
        <w:numId w:val="22"/>
      </w:numPr>
    </w:pPr>
  </w:style>
  <w:style w:type="numbering" w:customStyle="1" w:styleId="CurrentList10">
    <w:name w:val="Current List10"/>
    <w:uiPriority w:val="99"/>
    <w:rsid w:val="006676F1"/>
    <w:pPr>
      <w:numPr>
        <w:numId w:val="23"/>
      </w:numPr>
    </w:pPr>
  </w:style>
  <w:style w:type="paragraph" w:customStyle="1" w:styleId="AppendixH2">
    <w:name w:val="Appendix H2"/>
    <w:basedOn w:val="Heading2"/>
    <w:next w:val="BodyText"/>
    <w:qFormat/>
    <w:rsid w:val="00012DA6"/>
    <w:pPr>
      <w:numPr>
        <w:numId w:val="25"/>
      </w:numPr>
    </w:pPr>
  </w:style>
  <w:style w:type="numbering" w:customStyle="1" w:styleId="CurrentList11">
    <w:name w:val="Current List11"/>
    <w:uiPriority w:val="99"/>
    <w:rsid w:val="00012DA6"/>
    <w:pPr>
      <w:numPr>
        <w:numId w:val="24"/>
      </w:numPr>
    </w:pPr>
  </w:style>
  <w:style w:type="paragraph" w:customStyle="1" w:styleId="AppendixH3">
    <w:name w:val="Appendix H3"/>
    <w:basedOn w:val="Heading3"/>
    <w:next w:val="BodyText"/>
    <w:qFormat/>
    <w:rsid w:val="00012DA6"/>
    <w:pPr>
      <w:numPr>
        <w:numId w:val="25"/>
      </w:numPr>
    </w:pPr>
  </w:style>
  <w:style w:type="numbering" w:customStyle="1" w:styleId="CurrentList12">
    <w:name w:val="Current List12"/>
    <w:uiPriority w:val="99"/>
    <w:rsid w:val="00012DA6"/>
    <w:pPr>
      <w:numPr>
        <w:numId w:val="26"/>
      </w:numPr>
    </w:pPr>
  </w:style>
  <w:style w:type="numbering" w:customStyle="1" w:styleId="CurrentList13">
    <w:name w:val="Current List13"/>
    <w:uiPriority w:val="99"/>
    <w:rsid w:val="00012DA6"/>
    <w:pPr>
      <w:numPr>
        <w:numId w:val="27"/>
      </w:numPr>
    </w:pPr>
  </w:style>
  <w:style w:type="paragraph" w:customStyle="1" w:styleId="Dummy">
    <w:name w:val="Dummy"/>
    <w:qFormat/>
    <w:rsid w:val="006C3BFC"/>
    <w:pPr>
      <w:numPr>
        <w:numId w:val="28"/>
      </w:numPr>
    </w:pPr>
    <w:rPr>
      <w:rFonts w:ascii="Times New Roman" w:eastAsiaTheme="majorEastAsia" w:hAnsi="Times New Roman"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sda.2018.10.014" TargetMode="External"/><Relationship Id="rId18" Type="http://schemas.openxmlformats.org/officeDocument/2006/relationships/hyperlink" Target="https://doi.org/10.1111/rssa.12378" TargetMode="External"/><Relationship Id="rId26" Type="http://schemas.openxmlformats.org/officeDocument/2006/relationships/hyperlink" Target="https://doi.org/10.1093/aje/kww094" TargetMode="External"/><Relationship Id="rId3" Type="http://schemas.openxmlformats.org/officeDocument/2006/relationships/styles" Target="styles.xml"/><Relationship Id="rId21" Type="http://schemas.openxmlformats.org/officeDocument/2006/relationships/hyperlink" Target="https://doi.org/10.1016/s1473-3099(10)70138-9" TargetMode="External"/><Relationship Id="rId34" Type="http://schemas.openxmlformats.org/officeDocument/2006/relationships/hyperlink" Target="https://CRAN.R-project.org/package=ggven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s1473-3099(19)30649-8" TargetMode="External"/><Relationship Id="rId25" Type="http://schemas.openxmlformats.org/officeDocument/2006/relationships/hyperlink" Target="https://www.R-project.org/" TargetMode="External"/><Relationship Id="rId33" Type="http://schemas.openxmlformats.org/officeDocument/2006/relationships/hyperlink" Target="https://doi.org/10.1177/1740774507077849" TargetMode="External"/><Relationship Id="rId2" Type="http://schemas.openxmlformats.org/officeDocument/2006/relationships/numbering" Target="numbering.xml"/><Relationship Id="rId16" Type="http://schemas.openxmlformats.org/officeDocument/2006/relationships/hyperlink" Target="https://CRAN.R-project.org/package=classifierplots" TargetMode="External"/><Relationship Id="rId20" Type="http://schemas.openxmlformats.org/officeDocument/2006/relationships/hyperlink" Target="https://CRAN.R-project.org/package=rms" TargetMode="External"/><Relationship Id="rId29" Type="http://schemas.openxmlformats.org/officeDocument/2006/relationships/hyperlink" Target="https://github.com/stan-dev/stan/wiki/Prior-Choice-Recommend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2307/2533043" TargetMode="External"/><Relationship Id="rId32" Type="http://schemas.openxmlformats.org/officeDocument/2006/relationships/hyperlink" Target="https://doi.org/10.1007/s11222-016-9696-4" TargetMode="External"/><Relationship Id="rId5" Type="http://schemas.openxmlformats.org/officeDocument/2006/relationships/webSettings" Target="webSettings.xml"/><Relationship Id="rId15" Type="http://schemas.openxmlformats.org/officeDocument/2006/relationships/hyperlink" Target="https://doi.org/10.1042/bsr20191312" TargetMode="External"/><Relationship Id="rId23" Type="http://schemas.openxmlformats.org/officeDocument/2006/relationships/hyperlink" Target="https://doi.org/10.1128/jcm.01834-13" TargetMode="External"/><Relationship Id="rId28" Type="http://schemas.openxmlformats.org/officeDocument/2006/relationships/hyperlink" Target="https://mc-stan.org/"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111/1467-9876.00131" TargetMode="External"/><Relationship Id="rId31" Type="http://schemas.openxmlformats.org/officeDocument/2006/relationships/hyperlink" Target="https://doi.org/10.1016/j.jmp.2018.12.0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package=R6" TargetMode="External"/><Relationship Id="rId22" Type="http://schemas.openxmlformats.org/officeDocument/2006/relationships/hyperlink" Target="https://doi.org/10.1177/1740774517711442" TargetMode="External"/><Relationship Id="rId27" Type="http://schemas.openxmlformats.org/officeDocument/2006/relationships/hyperlink" Target="https://mc-stan.org/" TargetMode="External"/><Relationship Id="rId30" Type="http://schemas.openxmlformats.org/officeDocument/2006/relationships/hyperlink" Target="https://doi.org/10.1016/s0140-6736(02)11318-3"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09772-3954-B44C-9982-CFC0E11D1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23</Pages>
  <Words>5749</Words>
  <Characters>32774</Characters>
  <Application>Microsoft Office Word</Application>
  <DocSecurity>0</DocSecurity>
  <Lines>273</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 search of a novel scoring system for Tuberculous Meningitis: a Bayesian Latent Class Approach</vt:lpstr>
      <vt:lpstr>Title</vt:lpstr>
    </vt:vector>
  </TitlesOfParts>
  <Company/>
  <LinksUpToDate>false</LinksUpToDate>
  <CharactersWithSpaces>38447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search of a novel scoring system for Tuberculous Meningitis: a Bayesian Latent Class Approach</dc:title>
  <dc:creator>Trinh Dong Huu Khanh1,4, Joseph Donovan3, Guy Thwaites1,2, and Ronald Geskus1,2</dc:creator>
  <cp:keywords/>
  <cp:lastModifiedBy>Dong, Trinh</cp:lastModifiedBy>
  <cp:revision>6</cp:revision>
  <dcterms:created xsi:type="dcterms:W3CDTF">2021-10-21T04:26:00Z</dcterms:created>
  <dcterms:modified xsi:type="dcterms:W3CDTF">2022-02-08T04:45:00Z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2021-10-21</vt:lpwstr>
  </property>
  <property fmtid="{D5CDD505-2E9C-101B-9397-08002B2CF9AE}" pid="4" name="output">
    <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