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0AE" w:rsidRPr="006F30AE" w:rsidRDefault="006F30AE" w:rsidP="006F30AE">
      <w:pPr>
        <w:spacing w:after="75"/>
        <w:outlineLvl w:val="0"/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</w:pPr>
      <w:proofErr w:type="spellStart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Xây</w:t>
      </w:r>
      <w:proofErr w:type="spellEnd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 dựng </w:t>
      </w:r>
      <w:proofErr w:type="spellStart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công</w:t>
      </w:r>
      <w:proofErr w:type="spellEnd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 </w:t>
      </w:r>
      <w:proofErr w:type="spellStart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nghệ</w:t>
      </w:r>
      <w:proofErr w:type="spellEnd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 dự </w:t>
      </w:r>
      <w:proofErr w:type="spellStart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báo</w:t>
      </w:r>
      <w:proofErr w:type="spellEnd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, cảnh </w:t>
      </w:r>
      <w:proofErr w:type="spellStart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báo</w:t>
      </w:r>
      <w:proofErr w:type="spellEnd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 sớm ngập lụt cho </w:t>
      </w:r>
      <w:proofErr w:type="spellStart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>các</w:t>
      </w:r>
      <w:proofErr w:type="spellEnd"/>
      <w:r w:rsidRPr="006F30AE">
        <w:rPr>
          <w:rFonts w:ascii="Arial" w:eastAsia="Times New Roman" w:hAnsi="Arial" w:cs="Arial"/>
          <w:b/>
          <w:bCs/>
          <w:color w:val="333333"/>
          <w:kern w:val="36"/>
          <w:sz w:val="28"/>
          <w:szCs w:val="28"/>
        </w:rPr>
        <w:t xml:space="preserve"> TP lớn</w:t>
      </w:r>
    </w:p>
    <w:p w:rsidR="006F30AE" w:rsidRPr="006F30AE" w:rsidRDefault="006F30AE" w:rsidP="006F30AE">
      <w:pPr>
        <w:divId w:val="1246381080"/>
        <w:rPr>
          <w:rFonts w:ascii="Arial" w:eastAsia="Times New Roman" w:hAnsi="Arial" w:cs="Arial"/>
          <w:color w:val="999999"/>
          <w:sz w:val="18"/>
          <w:szCs w:val="18"/>
        </w:rPr>
      </w:pPr>
      <w:r w:rsidRPr="006F30AE">
        <w:rPr>
          <w:rFonts w:ascii="Arial" w:eastAsia="Times New Roman" w:hAnsi="Arial" w:cs="Arial"/>
          <w:color w:val="999999"/>
          <w:sz w:val="18"/>
          <w:szCs w:val="18"/>
        </w:rPr>
        <w:t>18:24, 30/11/2015 (GMT+7)</w:t>
      </w:r>
    </w:p>
    <w:p w:rsidR="006F30AE" w:rsidRPr="006F30AE" w:rsidRDefault="006F30AE" w:rsidP="006F30AE">
      <w:pPr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(TN&amp;MT) – Hệ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thống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cảnh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sớm được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xem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là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một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cụ hiệu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quả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tiềm năng để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thích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ứng với biến đổi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hậu. Nó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có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thể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làm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giảm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thiệt hại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mất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mát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do lũ lụt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gây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ra tại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thành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phố lớn.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Giảm thiểu thiệt hại do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thiên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tai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trách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nhiệm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chung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của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nước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cộng đồng,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đó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thiên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tai, lũ lụt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vai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trò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đặc biệt quan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trọng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Nhiệm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vụ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quản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lý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vận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mạng lưới quan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trắc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thủy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văn;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 tượng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thời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tiết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hiểm, lũ lụt ở Việt Nam hiện nay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nước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giao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cho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KTTV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quốc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gia thuộc Bộ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Tài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nguyên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Môi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trường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nhiên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ở Việt Nam,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thời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gian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qua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 đô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chưa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 một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đầy đủ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hiệu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khi đó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đô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phố lớn của Việt Nam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tình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trạng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úng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ngày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càng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diễn biến phức tạp, ảnh hưởng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nghiêm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trọng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tới đời sống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xã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hội. Do vậy, việc trang bị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nghệ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 đô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 đại để ứng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phó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triển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khai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pháp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khắc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phục hiệu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kịp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thời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xem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cốt yếu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cần thiết.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KTTV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quốc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gia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Viện Thủy lực Đan Mạch (DHI)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cùng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với sự hỗ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tài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chính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từ Quĩ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Tài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Chính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Môi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trường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Bắc Âu (NCF) đã phối hợp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xây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đề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xuất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“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Xây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nghệ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sớm ngập lụt đô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cho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phố Hà Nội, Việt Nam”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Trần Hồng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Thái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Phó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Tổng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đốc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Thủy văn Quốc gia cho biết mục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tiêu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của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tăng cường năng lực của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Thủy văn Quốc gia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 tượng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thủy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văn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hiểm,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giảm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nhẹ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thiên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tai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nguồn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gốc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thủy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văn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gây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ra,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trọng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nghệ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đặc biệt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nghệ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thủy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văn nội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>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Mục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tiêu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thời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gian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ngắn của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cụ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thời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gian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về mức độ ngập lụt cho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phố Hà Nội để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pháp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phòng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tránh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kịp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thời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hiệu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;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đào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tạo,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huấn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luyện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đội ngũ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bộ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thủy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văn của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Thủy văn Quốc gia sử dụng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nghệ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 đô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 đại, nhằm ứng dụng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nghiệp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vụ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thủy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văn của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; tăng cường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phục vụ của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Thủy văn Quốc gia, cải thiện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truyền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chất lượng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bản tin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sớm ngập lụt đô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W w:w="14760" w:type="dxa"/>
        <w:jc w:val="center"/>
        <w:shd w:val="clear" w:color="auto" w:fill="E9E9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0"/>
      </w:tblGrid>
      <w:tr w:rsidR="006F30AE" w:rsidRPr="006F30AE">
        <w:trPr>
          <w:divId w:val="1705668418"/>
          <w:jc w:val="center"/>
        </w:trPr>
        <w:tc>
          <w:tcPr>
            <w:tcW w:w="0" w:type="auto"/>
            <w:shd w:val="clear" w:color="auto" w:fill="E9E9E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30AE" w:rsidRPr="006F30AE" w:rsidRDefault="006F30AE" w:rsidP="006F30AE">
            <w:pPr>
              <w:jc w:val="center"/>
              <w:rPr>
                <w:rFonts w:ascii="Times New Roman" w:eastAsia="Times New Roman" w:hAnsi="Times New Roman" w:cs="Times New Roman"/>
                <w:color w:val="004488"/>
                <w:sz w:val="24"/>
                <w:szCs w:val="24"/>
              </w:rPr>
            </w:pPr>
            <w:r w:rsidRPr="006F30AE">
              <w:rPr>
                <w:rFonts w:ascii="Times New Roman" w:eastAsia="Times New Roman" w:hAnsi="Times New Roman" w:cs="Times New Roman"/>
                <w:noProof/>
                <w:color w:val="004488"/>
                <w:sz w:val="24"/>
                <w:szCs w:val="24"/>
              </w:rPr>
              <w:lastRenderedPageBreak/>
              <w:drawing>
                <wp:inline distT="0" distB="0" distL="0" distR="0" wp14:anchorId="72D790DF" wp14:editId="32360407">
                  <wp:extent cx="4762500" cy="3169920"/>
                  <wp:effectExtent l="0" t="0" r="0" b="5080"/>
                  <wp:docPr id="2" name="Picture 2" descr="/private/var/mobile/Containers/Data/Application/B024B738-AF09-4CE4-BE1F-91C1CA978F20/tmp/WebArchiveCopyPasteTempFiles/images1418044_IMG_42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private/var/mobile/Containers/Data/Application/B024B738-AF09-4CE4-BE1F-91C1CA978F20/tmp/WebArchiveCopyPasteTempFiles/images1418044_IMG_42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169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0AE" w:rsidRPr="006F30AE">
        <w:trPr>
          <w:divId w:val="1705668418"/>
          <w:jc w:val="center"/>
        </w:trPr>
        <w:tc>
          <w:tcPr>
            <w:tcW w:w="0" w:type="auto"/>
            <w:shd w:val="clear" w:color="auto" w:fill="E9E9E9"/>
            <w:vAlign w:val="center"/>
            <w:hideMark/>
          </w:tcPr>
          <w:p w:rsidR="006F30AE" w:rsidRPr="006F30AE" w:rsidRDefault="006F30AE" w:rsidP="006F30AE">
            <w:pPr>
              <w:jc w:val="center"/>
              <w:rPr>
                <w:rFonts w:ascii="Times New Roman" w:eastAsia="Times New Roman" w:hAnsi="Times New Roman" w:cs="Times New Roman"/>
                <w:color w:val="004488"/>
                <w:sz w:val="24"/>
                <w:szCs w:val="24"/>
              </w:rPr>
            </w:pPr>
          </w:p>
        </w:tc>
      </w:tr>
    </w:tbl>
    <w:p w:rsidR="006F30AE" w:rsidRPr="006F30AE" w:rsidRDefault="006F30AE" w:rsidP="006F30AE">
      <w:pPr>
        <w:spacing w:before="150"/>
        <w:jc w:val="center"/>
        <w:divId w:val="170566841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Lãnh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đạo TT KTTVQG chụp ảnh kỷ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niệm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cùng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Ban Quản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lý</w:t>
      </w:r>
      <w:proofErr w:type="spellEnd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án</w:t>
      </w:r>
      <w:proofErr w:type="spellEnd"/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Phó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sư-tiến sỹ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Nguyễn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Kiên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Dũng,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đốc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ứng dụng thuộc NHMS cho biết, kết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của hỗ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kỹ thuật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đã tập hợp số liệu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khảo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địa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hình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ngòi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hệ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thống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tiêu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thoát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nước cho 8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quận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nội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Hà Nội,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tổng quan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phương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pháp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 trên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thế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giới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Việt Nam, bản đồ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cơ ngập lụt 8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quận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nội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Hà Nội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có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độ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phân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giải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cao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hệ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thống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quan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trắc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thời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gian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được thiết lập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hoạt động ổn định (5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quan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trắc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mực nước tự động để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diễn biến mực nước trên lưu vực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Kim Ngưu),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nghệ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sớm ngập lụt cho lưu vực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Kim Ngưu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xây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nghiệm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nhân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viên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tâm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Thủy văn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quốc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gia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đào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tạo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tham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quan học tập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kinh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nghiệm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ở nước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ngoài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>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 Về việc lập bản đồ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cơ rủi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ro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 cho nội đô Hà Nội,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tháng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11/2014, Ban Quản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lý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 đô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(thuộc NHMS) đã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ký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hợp đồng với Viện Thủy văn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Môi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trường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Biến đổi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hậu để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gói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thầu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"Tư vấn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triển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mô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hình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hệ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thống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thoát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nước phục vụ lập bản đồ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cơ ngập lụt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thiết lập hệ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thống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sớm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lụt.</w:t>
      </w:r>
    </w:p>
    <w:tbl>
      <w:tblPr>
        <w:tblW w:w="14760" w:type="dxa"/>
        <w:jc w:val="center"/>
        <w:shd w:val="clear" w:color="auto" w:fill="E9E9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0"/>
      </w:tblGrid>
      <w:tr w:rsidR="006F30AE" w:rsidRPr="006F30AE">
        <w:trPr>
          <w:divId w:val="1705668418"/>
          <w:jc w:val="center"/>
        </w:trPr>
        <w:tc>
          <w:tcPr>
            <w:tcW w:w="0" w:type="auto"/>
            <w:shd w:val="clear" w:color="auto" w:fill="E9E9E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30AE" w:rsidRPr="006F30AE" w:rsidRDefault="006F30AE" w:rsidP="006F30AE">
            <w:pPr>
              <w:jc w:val="center"/>
              <w:rPr>
                <w:rFonts w:ascii="Times New Roman" w:eastAsia="Times New Roman" w:hAnsi="Times New Roman" w:cs="Times New Roman"/>
                <w:color w:val="004488"/>
                <w:sz w:val="24"/>
                <w:szCs w:val="24"/>
              </w:rPr>
            </w:pPr>
            <w:r w:rsidRPr="006F30AE">
              <w:rPr>
                <w:rFonts w:ascii="Times New Roman" w:eastAsia="Times New Roman" w:hAnsi="Times New Roman" w:cs="Times New Roman"/>
                <w:noProof/>
                <w:color w:val="004488"/>
                <w:sz w:val="24"/>
                <w:szCs w:val="24"/>
              </w:rPr>
              <w:lastRenderedPageBreak/>
              <w:drawing>
                <wp:inline distT="0" distB="0" distL="0" distR="0" wp14:anchorId="52DDA269" wp14:editId="5F5F7F1B">
                  <wp:extent cx="5715000" cy="3810000"/>
                  <wp:effectExtent l="0" t="0" r="0" b="0"/>
                  <wp:docPr id="1" name="Picture 1" descr="/private/var/mobile/Containers/Data/Application/B024B738-AF09-4CE4-BE1F-91C1CA978F20/tmp/WebArchiveCopyPasteTempFiles/images1418045_13759470832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private/var/mobile/Containers/Data/Application/B024B738-AF09-4CE4-BE1F-91C1CA978F20/tmp/WebArchiveCopyPasteTempFiles/images1418045_13759470832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0AE" w:rsidRPr="006F30AE">
        <w:trPr>
          <w:divId w:val="1705668418"/>
          <w:jc w:val="center"/>
        </w:trPr>
        <w:tc>
          <w:tcPr>
            <w:tcW w:w="0" w:type="auto"/>
            <w:shd w:val="clear" w:color="auto" w:fill="E9E9E9"/>
            <w:vAlign w:val="center"/>
            <w:hideMark/>
          </w:tcPr>
          <w:p w:rsidR="006F30AE" w:rsidRPr="006F30AE" w:rsidRDefault="006F30AE" w:rsidP="006F30AE">
            <w:pPr>
              <w:jc w:val="center"/>
              <w:rPr>
                <w:rFonts w:ascii="Times New Roman" w:eastAsia="Times New Roman" w:hAnsi="Times New Roman" w:cs="Times New Roman"/>
                <w:color w:val="004488"/>
                <w:sz w:val="24"/>
                <w:szCs w:val="24"/>
              </w:rPr>
            </w:pPr>
          </w:p>
        </w:tc>
      </w:tr>
    </w:tbl>
    <w:p w:rsidR="006F30AE" w:rsidRPr="006F30AE" w:rsidRDefault="006F30AE" w:rsidP="006F30AE">
      <w:pPr>
        <w:spacing w:before="150"/>
        <w:jc w:val="center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Ngập lụt ở Hà Nội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bản đồ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cơ ngập lụt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xây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dựng ứng với kịch bản, tần suất thiết kế mưa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nhau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Nhìn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chung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chất lượng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việc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hoạt động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này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đã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đáp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ứng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yêu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cầu kỹ thuật,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tuân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thủ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định hiện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của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nước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trình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phạm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chuyên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môn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>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Đối với việc thiết lập hệ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thống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giám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Ban Quản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lý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đã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ký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hợp đồng với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cổ phần Đầu tư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nghệ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Minh Việt để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nhiệm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vụ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cấp 5 thiết bị đo mực nước tự động, phần mềm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thi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lắp đặt 5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đo mực nước tự động tại 5 vị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thuộc lưu vực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Kim Ngưu-Hà Nội, để phục vụ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 đô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theo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đúng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thiết kế đã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phê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duyệt.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Hiện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này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đã được lắp đặt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đưa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hoạt động. Số liệu từ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trạm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này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đã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truyền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về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đài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thủy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văn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vực đồng bằng Bắc Bộ kết nối với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mô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hình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lụt đô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thị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>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Về việc thiết lập hệ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thống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sớm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ngập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úng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Ban Quản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lý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đã tiến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ký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hợp đồng với Viện Thủy văn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Môi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trường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Biến đối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hậu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này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sẽ hỗ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cho DHI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việc thiết kế,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kiểm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tra hệ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thống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phát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triển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một số kế hoạch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khẩn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cấp với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cấp độ cảnh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báo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>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Khối lượng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chất lượng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việc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hoạt động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này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cơ bản đã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hoàn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đáp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ứng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yêu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cầu kỹ thuật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chuyên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môn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>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lastRenderedPageBreak/>
        <w:t xml:space="preserve">Đối với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đào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tạo, NHMS đã cử 5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bộ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quản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lý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đi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tham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quan học hỏi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kinh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nghiệm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tại Đan Mạch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3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bộ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đào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tạo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chuyên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sâu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tại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trụ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sở DHI tại Đan Mạch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trong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vòng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3 tuần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tháng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10/2014.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Dưới sự hướng dẫn của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chuyên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gia DHI,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bộ kỹ thuật của NHMS đã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đào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tạo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tiếp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qua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việc cụ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thể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như thiếp lập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mô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hình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lập bản đồ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nguy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cơ ngập lụt, được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cấp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trang bị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kiến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thức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về cấu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hình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hệ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thống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online...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DHI chủ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trì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, phối hợp với với NHMS tổ chức hội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thảo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bố kết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của dự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án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tại 3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phố lớn của Việt Nam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là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Hà Nội, Đà Nẵng,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Thành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phố Hồ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Minh.</w:t>
      </w:r>
    </w:p>
    <w:p w:rsidR="006F30AE" w:rsidRPr="006F30AE" w:rsidRDefault="006F30AE" w:rsidP="006F30AE">
      <w:pPr>
        <w:spacing w:before="150"/>
        <w:jc w:val="both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color w:val="000000"/>
          <w:sz w:val="24"/>
          <w:szCs w:val="24"/>
        </w:rPr>
        <w:t xml:space="preserve">NHMS chủ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trì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thực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hiện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trình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diễn kết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quả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công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nghệ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tại 3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đài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khí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tượng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thủy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văn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khu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vực Nam Bộ, Nam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Trung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Bộ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và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F30AE">
        <w:rPr>
          <w:rFonts w:ascii="Arial" w:hAnsi="Arial" w:cs="Arial"/>
          <w:color w:val="000000"/>
          <w:sz w:val="24"/>
          <w:szCs w:val="24"/>
        </w:rPr>
        <w:t>Đông</w:t>
      </w:r>
      <w:proofErr w:type="spellEnd"/>
      <w:r w:rsidRPr="006F30AE">
        <w:rPr>
          <w:rFonts w:ascii="Arial" w:hAnsi="Arial" w:cs="Arial"/>
          <w:color w:val="000000"/>
          <w:sz w:val="24"/>
          <w:szCs w:val="24"/>
        </w:rPr>
        <w:t xml:space="preserve"> Bắc.</w:t>
      </w:r>
    </w:p>
    <w:p w:rsidR="006F30AE" w:rsidRPr="006F30AE" w:rsidRDefault="006F30AE" w:rsidP="006F30AE">
      <w:pPr>
        <w:spacing w:before="150"/>
        <w:jc w:val="right"/>
        <w:divId w:val="1705668418"/>
        <w:rPr>
          <w:rFonts w:ascii="Arial" w:hAnsi="Arial" w:cs="Arial"/>
          <w:color w:val="000000"/>
          <w:sz w:val="24"/>
          <w:szCs w:val="24"/>
        </w:rPr>
      </w:pPr>
      <w:r w:rsidRPr="006F30AE">
        <w:rPr>
          <w:rFonts w:ascii="Arial" w:hAnsi="Arial" w:cs="Arial"/>
          <w:b/>
          <w:bCs/>
          <w:color w:val="000000"/>
          <w:sz w:val="24"/>
          <w:szCs w:val="24"/>
        </w:rPr>
        <w:t>Phạm Thu Hà</w:t>
      </w:r>
    </w:p>
    <w:p w:rsidR="006F30AE" w:rsidRDefault="006F30AE">
      <w:bookmarkStart w:id="0" w:name="_GoBack"/>
      <w:bookmarkEnd w:id="0"/>
    </w:p>
    <w:sectPr w:rsidR="006F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AE"/>
    <w:rsid w:val="006F30AE"/>
    <w:rsid w:val="00C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844D10-DFA3-6344-BADE-4F8D8F81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0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F30A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3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38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18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2017-09-21T04:22:00Z</dcterms:created>
  <dcterms:modified xsi:type="dcterms:W3CDTF">2017-09-21T04:22:00Z</dcterms:modified>
</cp:coreProperties>
</file>