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w:t>
      </w:r>
      <w:r w:rsidRPr="00607E6B">
        <w:rPr>
          <w:sz w:val="40"/>
          <w:color w:val="000000"/>
        </w:rPr>
        <w:t>:</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t>Abstract—</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color w:val="auto"/>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color w:val="auto"/>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color w:val="auto"/>
        </w:rPr>
        <w:t xml:space="preserve">The study addresses three research questions. Only ASSISTments 2012, under the primary protocol (Section III.C), is used for the primary answers. Junyi Academy is a post-hoc check. XES3G5M contributes distribution and estimability, not model scores.</w:t>
      </w:r>
    </w:p>
    <w:p w:rsidR="00C62791" w:rsidRDefault="00AA3681" w:rsidP="00607E6B">
      <w:pPr>
        <w:pStyle w:val="Text"/>
        <w:spacing w:line="252" w:lineRule="exact"/>
      </w:pPr>
      <w:r>
        <w:rPr>
          <w:color w:val="auto"/>
        </w:rPr>
        <w:t xml:space="preserve">RQ1: Under the primary protocol, how does expected calibration error (ECE) differ between sparse and dense knowledge components on ASSISTments 2012, once the bias reference and a size-matched comparison are reported separately?</w:t>
      </w:r>
    </w:p>
    <w:p w:rsidR="00C62791" w:rsidRDefault="00AA3681" w:rsidP="00607E6B">
      <w:pPr>
        <w:pStyle w:val="Text"/>
        <w:spacing w:line="252" w:lineRule="exact"/>
      </w:pPr>
      <w:r>
        <w:t>RQ2: When is a sparse-versus-dense contrast estimable, and when must model-based results be withheld?</w:t>
      </w:r>
    </w:p>
    <w:p w:rsidR="00C62791" w:rsidRDefault="00AA3681" w:rsidP="00607E6B">
      <w:pPr>
        <w:pStyle w:val="Text"/>
        <w:spacing w:line="252" w:lineRule="exact"/>
      </w:pPr>
      <w:r>
        <w:rPr>
          <w:color w:val="auto"/>
        </w:rPr>
        <w:t xml:space="preserve">RQ3: On ASSISTments 2012, how does the deep knowledge tracing (DKT) contrast change when the checkpoint and the test window are varied one at a time?</w:t>
      </w:r>
    </w:p>
    <w:p w:rsidR="00C62791" w:rsidRDefault="00AA3681" w:rsidP="00607E6B">
      <w:pPr>
        <w:pStyle w:val="Text"/>
        <w:spacing w:line="252" w:lineRule="exact"/>
      </w:pPr>
      <w:r>
        <w:rPr>
          <w:color w:val="auto"/>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color w:val="000000"/>
        </w:rPr>
      </w:r>
      <w:r>
        <w:rPr/>
      </w:r>
      <w:r>
        <w:rPr>
          <w:color w:val="000000"/>
        </w:rPr>
      </w:r>
      <w:r>
        <w:rPr/>
      </w:r>
      <w:r>
        <w:rPr>
          <w:color w:val="000000"/>
        </w:rPr>
      </w:r>
      <w:r>
        <w:rPr/>
      </w:r>
      <w:r>
        <w:rPr>
          <w:color w:val="000000"/>
        </w:rPr>
      </w:r>
      <w:r>
        <w:rPr/>
      </w:r>
    </w:p>
    <w:p w:rsidR="00C62791" w:rsidRDefault="00AA3681" w:rsidP="00607E6B">
      <w:pPr>
        <w:pStyle w:val="Text"/>
        <w:spacing w:line="252" w:lineRule="exact"/>
      </w:pPr>
      <w:r>
        <w:rPr>
          <w:color w:val="auto"/>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color w:val="auto"/>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color w:val="auto"/>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color w:val="auto"/>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color w:val="auto"/>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i/>
        </w:rPr>
      </w:r>
      <w:r/>
      <w:proofErr w:type="gramStart"/>
      <w:r/>
      <w:proofErr w:type="gramEnd"/>
      <w:r>
        <w:rPr>
          <w:i/>
        </w:rPr>
      </w:r>
      <w:r/>
      <w:r>
        <w:rPr>
          <w:i/>
        </w:rPr>
      </w:r>
      <w:r/>
      <w:r>
        <w:rPr>
          <w:i/>
        </w:rPr>
      </w:r>
      <w:r/>
      <w:r>
        <w:rPr>
          <w:i/>
        </w:rPr>
      </w:r>
      <w:r/>
    </w:p>
    <w:p w:rsidR="00C62791" w:rsidRDefault="00AA3681" w:rsidP="00607E6B">
      <w:pPr>
        <w:pStyle w:val="Text"/>
        <w:spacing w:line="252" w:lineRule="exact"/>
      </w:pPr>
      <w:r>
        <w:rPr>
          <w:color w:val="auto"/>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color w:val="000000"/>
        </w:rPr>
      </w:r>
      <w:r>
        <w:rP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ageBreakBefore/>
        <w:pStyle w:val="figurecaption0"/>
        <w:keepNext/>
        <w:spacing w:before="80" w:after="40"/>
      </w:pPr>
      <w:r>
        <w:rPr>
          <w:color w:val="auto"/>
        </w:rPr>
        <w:t xml:space="preserve">Table 2. Configuration of the scored neural models. Primary rows are ASSISTments DKT and T-KT masked under the primary protocol. simpleKT is sensitivity. No missing setting was filled in.</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sz w:val="16"/>
                <w:szCs w:val="16"/>
                <w:color w:val="000000"/>
              </w:rPr>
              <w:t xml:space="preserve">simpleKT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Architecture</w:t>
            </w:r>
          </w:p>
        </w:tc>
        <w:tc>
          <w:tcPr>
            <w:tcW w:w="1246" w:type="pct"/>
            <w:tcMar>
              <w:top w:w="10" w:type="dxa"/>
              <w:left w:w="20" w:type="dxa"/>
              <w:bottom w:w="10" w:type="dxa"/>
              <w:right w:w="20" w:type="dxa"/>
            </w:tcMar>
            <w:vAlign w:val="center"/>
          </w:tcPr>
          <w:p>
            <w:r>
              <w:rPr>
                <w:sz w:val="16"/>
                <w:szCs w:val="16"/>
                <w:color w:val="000000"/>
              </w:rPr>
              <w:t xml:space="preserve">LSTM</w:t>
            </w:r>
          </w:p>
        </w:tc>
        <w:tc>
          <w:tcPr>
            <w:tcW w:w="1196" w:type="pct"/>
            <w:tcMar>
              <w:top w:w="10" w:type="dxa"/>
              <w:left w:w="20" w:type="dxa"/>
              <w:bottom w:w="10" w:type="dxa"/>
              <w:right w:w="20" w:type="dxa"/>
            </w:tcMar>
            <w:vAlign w:val="center"/>
          </w:tcPr>
          <w:p>
            <w:r>
              <w:rPr>
                <w:sz w:val="16"/>
                <w:szCs w:val="16"/>
                <w:color w:val="000000"/>
              </w:rPr>
              <w:t xml:space="preserve">Causal Transformer</w:t>
            </w:r>
          </w:p>
        </w:tc>
        <w:tc>
          <w:tcPr>
            <w:tcW w:w="1412" w:type="pct"/>
            <w:tcMar>
              <w:top w:w="10" w:type="dxa"/>
              <w:left w:w="20" w:type="dxa"/>
              <w:bottom w:w="10" w:type="dxa"/>
              <w:right w:w="20" w:type="dxa"/>
            </w:tcMar>
            <w:vAlign w:val="center"/>
          </w:tcPr>
          <w:p>
            <w:r>
              <w:rPr>
                <w:sz w:val="16"/>
                <w:szCs w:val="16"/>
                <w:color w:val="000000"/>
              </w:rPr>
              <w:t xml:space="preserve">pyKT simpleKT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Embedding size</w:t>
            </w:r>
          </w:p>
        </w:tc>
        <w:tc>
          <w:tcPr>
            <w:tcW w:w="1246" w:type="pct"/>
            <w:tcMar>
              <w:top w:w="10" w:type="dxa"/>
              <w:left w:w="20" w:type="dxa"/>
              <w:bottom w:w="10" w:type="dxa"/>
              <w:right w:w="20" w:type="dxa"/>
            </w:tcMar>
            <w:vAlign w:val="center"/>
          </w:tcPr>
          <w:p>
            <w:r>
              <w:rPr>
                <w:sz w:val="16"/>
                <w:szCs w:val="16"/>
                <w:color w:val="000000"/>
              </w:rPr>
              <w:t xml:space="preserve">64</w:t>
            </w:r>
          </w:p>
        </w:tc>
        <w:tc>
          <w:tcPr>
            <w:tcW w:w="1196" w:type="pct"/>
            <w:tcMar>
              <w:top w:w="10" w:type="dxa"/>
              <w:left w:w="20" w:type="dxa"/>
              <w:bottom w:w="10" w:type="dxa"/>
              <w:right w:w="20" w:type="dxa"/>
            </w:tcMar>
            <w:vAlign w:val="center"/>
          </w:tcPr>
          <w:p>
            <w:r>
              <w:rPr>
                <w:sz w:val="16"/>
                <w:szCs w:val="16"/>
                <w:color w:val="000000"/>
              </w:rPr>
              <w:t xml:space="preserve">64</w:t>
            </w:r>
          </w:p>
        </w:tc>
        <w:tc>
          <w:tcPr>
            <w:tcW w:w="1412" w:type="pct"/>
            <w:tcMar>
              <w:top w:w="10" w:type="dxa"/>
              <w:left w:w="20" w:type="dxa"/>
              <w:bottom w:w="10" w:type="dxa"/>
              <w:right w:w="20" w:type="dxa"/>
            </w:tcMar>
            <w:vAlign w:val="center"/>
          </w:tcPr>
          <w:p>
            <w:r>
              <w:rPr>
                <w:sz w:val="16"/>
                <w:szCs w:val="16"/>
                <w:color w:val="000000"/>
              </w:rPr>
              <w:t xml:space="preserve">256</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Hidden size</w:t>
            </w:r>
          </w:p>
        </w:tc>
        <w:tc>
          <w:tcPr>
            <w:tcW w:w="1246" w:type="pct"/>
            <w:tcMar>
              <w:top w:w="10" w:type="dxa"/>
              <w:left w:w="20" w:type="dxa"/>
              <w:bottom w:w="10" w:type="dxa"/>
              <w:right w:w="20" w:type="dxa"/>
            </w:tcMar>
            <w:vAlign w:val="center"/>
          </w:tcPr>
          <w:p>
            <w:r>
              <w:rPr>
                <w:sz w:val="16"/>
                <w:szCs w:val="16"/>
                <w:color w:val="000000"/>
              </w:rPr>
              <w:t xml:space="preserve">128</w:t>
            </w:r>
          </w:p>
        </w:tc>
        <w:tc>
          <w:tcPr>
            <w:tcW w:w="1196" w:type="pct"/>
            <w:tcMar>
              <w:top w:w="10" w:type="dxa"/>
              <w:left w:w="20" w:type="dxa"/>
              <w:bottom w:w="10" w:type="dxa"/>
              <w:right w:w="20" w:type="dxa"/>
            </w:tcMar>
            <w:vAlign w:val="center"/>
          </w:tcPr>
          <w:p>
            <w:r>
              <w:rPr>
                <w:sz w:val="16"/>
                <w:szCs w:val="16"/>
                <w:color w:val="000000"/>
              </w:rPr>
              <w:t xml:space="preserve">64</w:t>
            </w:r>
          </w:p>
        </w:tc>
        <w:tc>
          <w:tcPr>
            <w:tcW w:w="1412" w:type="pct"/>
            <w:tcMar>
              <w:top w:w="10" w:type="dxa"/>
              <w:left w:w="20" w:type="dxa"/>
              <w:bottom w:w="10" w:type="dxa"/>
              <w:right w:w="20" w:type="dxa"/>
            </w:tcMar>
            <w:vAlign w:val="center"/>
          </w:tcPr>
          <w:p>
            <w:r>
              <w:rPr>
                <w:sz w:val="16"/>
                <w:szCs w:val="16"/>
                <w:color w:val="000000"/>
              </w:rPr>
              <w:t xml:space="preserve">256</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Number of layers</w:t>
            </w:r>
          </w:p>
        </w:tc>
        <w:tc>
          <w:tcPr>
            <w:tcW w:w="1246" w:type="pct"/>
            <w:tcMar>
              <w:top w:w="10" w:type="dxa"/>
              <w:left w:w="20" w:type="dxa"/>
              <w:bottom w:w="10" w:type="dxa"/>
              <w:right w:w="20" w:type="dxa"/>
            </w:tcMar>
            <w:vAlign w:val="center"/>
          </w:tcPr>
          <w:p>
            <w:r>
              <w:rPr>
                <w:sz w:val="16"/>
                <w:szCs w:val="16"/>
                <w:color w:val="000000"/>
              </w:rPr>
              <w:t xml:space="preserve">1</w:t>
            </w:r>
          </w:p>
        </w:tc>
        <w:tc>
          <w:tcPr>
            <w:tcW w:w="1196" w:type="pct"/>
            <w:tcMar>
              <w:top w:w="10" w:type="dxa"/>
              <w:left w:w="20" w:type="dxa"/>
              <w:bottom w:w="10" w:type="dxa"/>
              <w:right w:w="20" w:type="dxa"/>
            </w:tcMar>
            <w:vAlign w:val="center"/>
          </w:tcPr>
          <w:p>
            <w:r>
              <w:rPr>
                <w:sz w:val="16"/>
                <w:szCs w:val="16"/>
                <w:color w:val="000000"/>
              </w:rPr>
              <w:t xml:space="preserve">2</w:t>
            </w:r>
          </w:p>
        </w:tc>
        <w:tc>
          <w:tcPr>
            <w:tcW w:w="1412" w:type="pct"/>
            <w:tcMar>
              <w:top w:w="10" w:type="dxa"/>
              <w:left w:w="20" w:type="dxa"/>
              <w:bottom w:w="10" w:type="dxa"/>
              <w:right w:w="20" w:type="dxa"/>
            </w:tcMar>
            <w:vAlign w:val="center"/>
          </w:tcPr>
          <w:p>
            <w:r>
              <w:rPr>
                <w:sz w:val="16"/>
                <w:szCs w:val="16"/>
                <w:color w:val="000000"/>
              </w:rPr>
              <w:t xml:space="preserve">2</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Attention heads</w:t>
            </w:r>
          </w:p>
        </w:tc>
        <w:tc>
          <w:tcPr>
            <w:tcW w:w="1246" w:type="pct"/>
            <w:tcMar>
              <w:top w:w="10" w:type="dxa"/>
              <w:left w:w="20" w:type="dxa"/>
              <w:bottom w:w="10" w:type="dxa"/>
              <w:right w:w="20" w:type="dxa"/>
            </w:tcMar>
            <w:vAlign w:val="center"/>
          </w:tcPr>
          <w:p>
            <w:r>
              <w:rPr>
                <w:sz w:val="16"/>
                <w:szCs w:val="16"/>
                <w:color w:val="000000"/>
              </w:rPr>
              <w:t xml:space="preserve">none</w:t>
            </w:r>
          </w:p>
        </w:tc>
        <w:tc>
          <w:tcPr>
            <w:tcW w:w="1196" w:type="pct"/>
            <w:tcMar>
              <w:top w:w="10" w:type="dxa"/>
              <w:left w:w="20" w:type="dxa"/>
              <w:bottom w:w="10" w:type="dxa"/>
              <w:right w:w="20" w:type="dxa"/>
            </w:tcMar>
            <w:vAlign w:val="center"/>
          </w:tcPr>
          <w:p>
            <w:r>
              <w:rPr>
                <w:sz w:val="16"/>
                <w:szCs w:val="16"/>
                <w:color w:val="000000"/>
              </w:rPr>
              <w:t xml:space="preserve">4</w:t>
            </w:r>
          </w:p>
        </w:tc>
        <w:tc>
          <w:tcPr>
            <w:tcW w:w="1412" w:type="pct"/>
            <w:tcMar>
              <w:top w:w="10" w:type="dxa"/>
              <w:left w:w="20" w:type="dxa"/>
              <w:bottom w:w="10" w:type="dxa"/>
              <w:right w:w="20" w:type="dxa"/>
            </w:tcMar>
            <w:vAlign w:val="center"/>
          </w:tcPr>
          <w:p>
            <w:r>
              <w:rPr>
                <w:sz w:val="16"/>
                <w:szCs w:val="16"/>
                <w:color w:val="000000"/>
              </w:rPr>
              <w:t xml:space="preserve">8</w:t>
            </w:r>
          </w:p>
        </w:tc>
      </w:tr>
      <w:tr w:rsidR="000640A2">
        <w:trPr>
          <w:cantSplit/>
          <w:jc w:val="center"/>
        </w:trPr>
        <w:tc>
          <w:tcPr>
            <w:tcW w:w="1146" w:type="pct"/>
            <w:tcMar>
              <w:top w:w="10" w:type="dxa"/>
              <w:left w:w="20" w:type="dxa"/>
              <w:bottom w:w="10" w:type="dxa"/>
              <w:right w:w="20" w:type="dxa"/>
            </w:tcMar>
            <w:vAlign w:val="center"/>
          </w:tcPr>
          <w:p>
            <w:r>
              <w:rPr>
                <w:sz w:val="16"/>
                <w:szCs w:val="16"/>
                <w:color w:val="auto"/>
              </w:rPr>
              <w:t xml:space="preserve">Positional encoding</w:t>
            </w:r>
          </w:p>
        </w:tc>
        <w:tc>
          <w:tcPr>
            <w:tcW w:w="1246" w:type="pct"/>
            <w:tcMar>
              <w:top w:w="10" w:type="dxa"/>
              <w:left w:w="20" w:type="dxa"/>
              <w:bottom w:w="10" w:type="dxa"/>
              <w:right w:w="20" w:type="dxa"/>
            </w:tcMar>
            <w:vAlign w:val="center"/>
          </w:tcPr>
          <w:p>
            <w:r>
              <w:rPr>
                <w:sz w:val="16"/>
                <w:szCs w:val="16"/>
                <w:color w:val="auto"/>
              </w:rPr>
              <w:t xml:space="preserve">None (recurrent)</w:t>
            </w:r>
          </w:p>
        </w:tc>
        <w:tc>
          <w:tcPr>
            <w:tcW w:w="1196" w:type="pct"/>
            <w:tcMar>
              <w:top w:w="10" w:type="dxa"/>
              <w:left w:w="20" w:type="dxa"/>
              <w:bottom w:w="10" w:type="dxa"/>
              <w:right w:w="20" w:type="dxa"/>
            </w:tcMar>
            <w:vAlign w:val="center"/>
          </w:tcPr>
          <w:p>
            <w:r>
              <w:rPr>
                <w:sz w:val="16"/>
                <w:szCs w:val="16"/>
                <w:color w:val="auto"/>
              </w:rPr>
              <w:t xml:space="preserve">None (causal mask only)</w:t>
            </w:r>
          </w:p>
        </w:tc>
        <w:tc>
          <w:tcPr>
            <w:tcW w:w="1412" w:type="pct"/>
            <w:tcMar>
              <w:top w:w="10" w:type="dxa"/>
              <w:left w:w="20" w:type="dxa"/>
              <w:bottom w:w="10" w:type="dxa"/>
              <w:right w:w="20" w:type="dxa"/>
            </w:tcMar>
            <w:vAlign w:val="center"/>
          </w:tcPr>
          <w:p>
            <w:r>
              <w:rPr>
                <w:sz w:val="16"/>
                <w:szCs w:val="16"/>
                <w:color w:val="auto"/>
              </w:rPr>
              <w:t xml:space="preserve">As in pyKT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Optimizer</w:t>
            </w:r>
          </w:p>
        </w:tc>
        <w:tc>
          <w:tcPr>
            <w:tcW w:w="1246" w:type="pct"/>
            <w:tcMar>
              <w:top w:w="10" w:type="dxa"/>
              <w:left w:w="20" w:type="dxa"/>
              <w:bottom w:w="10" w:type="dxa"/>
              <w:right w:w="20" w:type="dxa"/>
            </w:tcMar>
            <w:vAlign w:val="center"/>
          </w:tcPr>
          <w:p>
            <w:r>
              <w:rPr>
                <w:sz w:val="16"/>
                <w:szCs w:val="16"/>
                <w:color w:val="000000"/>
              </w:rPr>
              <w:t xml:space="preserve">Adam</w:t>
            </w:r>
          </w:p>
        </w:tc>
        <w:tc>
          <w:tcPr>
            <w:tcW w:w="1196" w:type="pct"/>
            <w:tcMar>
              <w:top w:w="10" w:type="dxa"/>
              <w:left w:w="20" w:type="dxa"/>
              <w:bottom w:w="10" w:type="dxa"/>
              <w:right w:w="20" w:type="dxa"/>
            </w:tcMar>
            <w:vAlign w:val="center"/>
          </w:tcPr>
          <w:p>
            <w:r>
              <w:rPr>
                <w:sz w:val="16"/>
                <w:szCs w:val="16"/>
                <w:color w:val="000000"/>
              </w:rPr>
              <w:t xml:space="preserve">Adam</w:t>
            </w:r>
          </w:p>
        </w:tc>
        <w:tc>
          <w:tcPr>
            <w:tcW w:w="1412" w:type="pct"/>
            <w:tcMar>
              <w:top w:w="10" w:type="dxa"/>
              <w:left w:w="20" w:type="dxa"/>
              <w:bottom w:w="10" w:type="dxa"/>
              <w:right w:w="20" w:type="dxa"/>
            </w:tcMar>
            <w:vAlign w:val="center"/>
          </w:tcPr>
          <w:p>
            <w:r>
              <w:rPr>
                <w:sz w:val="16"/>
                <w:szCs w:val="16"/>
                <w:color w:val="000000"/>
              </w:rPr>
              <w:t xml:space="preserve">Adam</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Learning rate</w:t>
            </w:r>
          </w:p>
        </w:tc>
        <w:tc>
          <w:tcPr>
            <w:tcW w:w="1246" w:type="pct"/>
            <w:tcMar>
              <w:top w:w="10" w:type="dxa"/>
              <w:left w:w="20" w:type="dxa"/>
              <w:bottom w:w="10" w:type="dxa"/>
              <w:right w:w="20" w:type="dxa"/>
            </w:tcMar>
            <w:vAlign w:val="center"/>
          </w:tcPr>
          <w:p>
            <w:r>
              <w:rPr>
                <w:sz w:val="16"/>
                <w:szCs w:val="16"/>
                <w:color w:val="000000"/>
              </w:rPr>
              <w:t xml:space="preserve">0.001</w:t>
            </w:r>
          </w:p>
        </w:tc>
        <w:tc>
          <w:tcPr>
            <w:tcW w:w="1196" w:type="pct"/>
            <w:tcMar>
              <w:top w:w="10" w:type="dxa"/>
              <w:left w:w="20" w:type="dxa"/>
              <w:bottom w:w="10" w:type="dxa"/>
              <w:right w:w="20" w:type="dxa"/>
            </w:tcMar>
            <w:vAlign w:val="center"/>
          </w:tcPr>
          <w:p>
            <w:r>
              <w:rPr>
                <w:sz w:val="16"/>
                <w:szCs w:val="16"/>
                <w:color w:val="000000"/>
              </w:rPr>
              <w:t xml:space="preserve">0.001</w:t>
            </w:r>
          </w:p>
        </w:tc>
        <w:tc>
          <w:tcPr>
            <w:tcW w:w="1412" w:type="pct"/>
            <w:tcMar>
              <w:top w:w="10" w:type="dxa"/>
              <w:left w:w="20" w:type="dxa"/>
              <w:bottom w:w="10" w:type="dxa"/>
              <w:right w:w="20" w:type="dxa"/>
            </w:tcMar>
            <w:vAlign w:val="center"/>
          </w:tcPr>
          <w:p>
            <w:r>
              <w:rPr>
                <w:sz w:val="16"/>
                <w:szCs w:val="16"/>
                <w:color w:val="000000"/>
              </w:rPr>
              <w:t xml:space="preserve">0.001</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Batch size</w:t>
            </w:r>
          </w:p>
        </w:tc>
        <w:tc>
          <w:tcPr>
            <w:tcW w:w="1246" w:type="pct"/>
            <w:tcMar>
              <w:top w:w="10" w:type="dxa"/>
              <w:left w:w="20" w:type="dxa"/>
              <w:bottom w:w="10" w:type="dxa"/>
              <w:right w:w="20" w:type="dxa"/>
            </w:tcMar>
            <w:vAlign w:val="center"/>
          </w:tcPr>
          <w:p>
            <w:r>
              <w:rPr>
                <w:sz w:val="16"/>
                <w:szCs w:val="16"/>
                <w:color w:val="000000"/>
              </w:rPr>
              <w:t xml:space="preserve">64</w:t>
            </w:r>
          </w:p>
        </w:tc>
        <w:tc>
          <w:tcPr>
            <w:tcW w:w="1196" w:type="pct"/>
            <w:tcMar>
              <w:top w:w="10" w:type="dxa"/>
              <w:left w:w="20" w:type="dxa"/>
              <w:bottom w:w="10" w:type="dxa"/>
              <w:right w:w="20" w:type="dxa"/>
            </w:tcMar>
            <w:vAlign w:val="center"/>
          </w:tcPr>
          <w:p>
            <w:r>
              <w:rPr>
                <w:sz w:val="16"/>
                <w:szCs w:val="16"/>
                <w:color w:val="000000"/>
              </w:rPr>
              <w:t xml:space="preserve">64</w:t>
            </w:r>
          </w:p>
        </w:tc>
        <w:tc>
          <w:tcPr>
            <w:tcW w:w="1412" w:type="pct"/>
            <w:tcMar>
              <w:top w:w="10" w:type="dxa"/>
              <w:left w:w="20" w:type="dxa"/>
              <w:bottom w:w="10" w:type="dxa"/>
              <w:right w:w="20" w:type="dxa"/>
            </w:tcMar>
            <w:vAlign w:val="center"/>
          </w:tcPr>
          <w:p>
            <w:r>
              <w:rPr>
                <w:sz w:val="16"/>
                <w:szCs w:val="16"/>
                <w:color w:val="000000"/>
              </w:rPr>
              <w:t xml:space="preserve">24</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Max epochs</w:t>
            </w:r>
          </w:p>
        </w:tc>
        <w:tc>
          <w:tcPr>
            <w:tcW w:w="1246" w:type="pct"/>
            <w:tcMar>
              <w:top w:w="10" w:type="dxa"/>
              <w:left w:w="20" w:type="dxa"/>
              <w:bottom w:w="10" w:type="dxa"/>
              <w:right w:w="20" w:type="dxa"/>
            </w:tcMar>
            <w:vAlign w:val="center"/>
          </w:tcPr>
          <w:p>
            <w:r>
              <w:rPr>
                <w:sz w:val="16"/>
                <w:szCs w:val="16"/>
                <w:color w:val="000000"/>
              </w:rPr>
              <w:t xml:space="preserve">50</w:t>
            </w:r>
          </w:p>
        </w:tc>
        <w:tc>
          <w:tcPr>
            <w:tcW w:w="1196" w:type="pct"/>
            <w:tcMar>
              <w:top w:w="10" w:type="dxa"/>
              <w:left w:w="20" w:type="dxa"/>
              <w:bottom w:w="10" w:type="dxa"/>
              <w:right w:w="20" w:type="dxa"/>
            </w:tcMar>
            <w:vAlign w:val="center"/>
          </w:tcPr>
          <w:p>
            <w:r>
              <w:rPr>
                <w:sz w:val="16"/>
                <w:szCs w:val="16"/>
                <w:color w:val="000000"/>
              </w:rPr>
              <w:t xml:space="preserve">50</w:t>
            </w:r>
          </w:p>
        </w:tc>
        <w:tc>
          <w:tcPr>
            <w:tcW w:w="1412" w:type="pct"/>
            <w:tcMar>
              <w:top w:w="10" w:type="dxa"/>
              <w:left w:w="20" w:type="dxa"/>
              <w:bottom w:w="10" w:type="dxa"/>
              <w:right w:w="20" w:type="dxa"/>
            </w:tcMar>
            <w:vAlign w:val="center"/>
          </w:tcPr>
          <w:p>
            <w:r>
              <w:rPr>
                <w:sz w:val="16"/>
                <w:szCs w:val="16"/>
                <w:color w:val="000000"/>
              </w:rPr>
              <w:t xml:space="preserve">50</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Patience</w:t>
            </w:r>
          </w:p>
        </w:tc>
        <w:tc>
          <w:tcPr>
            <w:tcW w:w="1246" w:type="pct"/>
            <w:tcMar>
              <w:top w:w="10" w:type="dxa"/>
              <w:left w:w="20" w:type="dxa"/>
              <w:bottom w:w="10" w:type="dxa"/>
              <w:right w:w="20" w:type="dxa"/>
            </w:tcMar>
            <w:vAlign w:val="center"/>
          </w:tcPr>
          <w:p>
            <w:r>
              <w:rPr>
                <w:sz w:val="16"/>
                <w:szCs w:val="16"/>
                <w:color w:val="000000"/>
              </w:rPr>
              <w:t xml:space="preserve">8</w:t>
            </w:r>
          </w:p>
        </w:tc>
        <w:tc>
          <w:tcPr>
            <w:tcW w:w="1196" w:type="pct"/>
            <w:tcMar>
              <w:top w:w="10" w:type="dxa"/>
              <w:left w:w="20" w:type="dxa"/>
              <w:bottom w:w="10" w:type="dxa"/>
              <w:right w:w="20" w:type="dxa"/>
            </w:tcMar>
            <w:vAlign w:val="center"/>
          </w:tcPr>
          <w:p>
            <w:r>
              <w:rPr>
                <w:sz w:val="16"/>
                <w:szCs w:val="16"/>
                <w:color w:val="000000"/>
              </w:rPr>
              <w:t xml:space="preserve">8</w:t>
            </w:r>
          </w:p>
        </w:tc>
        <w:tc>
          <w:tcPr>
            <w:tcW w:w="1412" w:type="pct"/>
            <w:tcMar>
              <w:top w:w="10" w:type="dxa"/>
              <w:left w:w="20" w:type="dxa"/>
              <w:bottom w:w="10" w:type="dxa"/>
              <w:right w:w="20" w:type="dxa"/>
            </w:tcMar>
            <w:vAlign w:val="center"/>
          </w:tcPr>
          <w:p>
            <w:r>
              <w:rPr>
                <w:sz w:val="16"/>
                <w:szCs w:val="16"/>
                <w:color w:val="000000"/>
              </w:rPr>
              <w:t xml:space="preserve">8</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Checkpoint rule</w:t>
            </w:r>
          </w:p>
        </w:tc>
        <w:tc>
          <w:tcPr>
            <w:tcW w:w="1246" w:type="pct"/>
            <w:tcMar>
              <w:top w:w="10" w:type="dxa"/>
              <w:left w:w="20" w:type="dxa"/>
              <w:bottom w:w="10" w:type="dxa"/>
              <w:right w:w="20" w:type="dxa"/>
            </w:tcMar>
            <w:vAlign w:val="center"/>
          </w:tcPr>
          <w:p>
            <w:r>
              <w:rPr>
                <w:sz w:val="16"/>
                <w:szCs w:val="16"/>
                <w:color w:val="000000"/>
              </w:rPr>
              <w:t xml:space="preserve">Best validation AUC</w:t>
            </w:r>
          </w:p>
        </w:tc>
        <w:tc>
          <w:tcPr>
            <w:tcW w:w="1196" w:type="pct"/>
            <w:tcMar>
              <w:top w:w="10" w:type="dxa"/>
              <w:left w:w="20" w:type="dxa"/>
              <w:bottom w:w="10" w:type="dxa"/>
              <w:right w:w="20" w:type="dxa"/>
            </w:tcMar>
            <w:vAlign w:val="center"/>
          </w:tcPr>
          <w:p>
            <w:r>
              <w:rPr>
                <w:sz w:val="16"/>
                <w:szCs w:val="16"/>
                <w:color w:val="000000"/>
              </w:rPr>
              <w:t xml:space="preserve">Best validation AUC</w:t>
            </w:r>
          </w:p>
        </w:tc>
        <w:tc>
          <w:tcPr>
            <w:tcW w:w="1412" w:type="pct"/>
            <w:tcMar>
              <w:top w:w="10" w:type="dxa"/>
              <w:left w:w="20" w:type="dxa"/>
              <w:bottom w:w="10" w:type="dxa"/>
              <w:right w:w="20" w:type="dxa"/>
            </w:tcMar>
            <w:vAlign w:val="center"/>
          </w:tcPr>
          <w:p>
            <w:r>
              <w:rPr>
                <w:sz w:val="16"/>
                <w:szCs w:val="16"/>
                <w:color w:val="000000"/>
              </w:rPr>
              <w:t xml:space="preserve">Best validation AUC</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Test history rule</w:t>
            </w:r>
          </w:p>
        </w:tc>
        <w:tc>
          <w:tcPr>
            <w:tcW w:w="1246" w:type="pct"/>
            <w:tcMar>
              <w:top w:w="10" w:type="dxa"/>
              <w:left w:w="20" w:type="dxa"/>
              <w:bottom w:w="10" w:type="dxa"/>
              <w:right w:w="20" w:type="dxa"/>
            </w:tcMar>
            <w:vAlign w:val="center"/>
          </w:tcPr>
          <w:p>
            <w:r>
              <w:rPr>
                <w:sz w:val="16"/>
                <w:szCs w:val="16"/>
                <w:color w:val="000000"/>
              </w:rPr>
              <w:t xml:space="preserve">Non-overlapping chunks of 200</w:t>
            </w:r>
          </w:p>
        </w:tc>
        <w:tc>
          <w:tcPr>
            <w:tcW w:w="1196" w:type="pct"/>
            <w:tcMar>
              <w:top w:w="10" w:type="dxa"/>
              <w:left w:w="20" w:type="dxa"/>
              <w:bottom w:w="10" w:type="dxa"/>
              <w:right w:w="20" w:type="dxa"/>
            </w:tcMar>
            <w:vAlign w:val="center"/>
          </w:tcPr>
          <w:p>
            <w:r>
              <w:rPr>
                <w:sz w:val="16"/>
                <w:szCs w:val="16"/>
                <w:color w:val="000000"/>
              </w:rPr>
              <w:t xml:space="preserve">Non-overlapping chunks of 200</w:t>
            </w:r>
          </w:p>
        </w:tc>
        <w:tc>
          <w:tcPr>
            <w:tcW w:w="1412" w:type="pct"/>
            <w:tcMar>
              <w:top w:w="10" w:type="dxa"/>
              <w:left w:w="20" w:type="dxa"/>
              <w:bottom w:w="10" w:type="dxa"/>
              <w:right w:w="20" w:type="dxa"/>
            </w:tcMar>
            <w:vAlign w:val="center"/>
          </w:tcPr>
          <w:p>
            <w:r>
              <w:rPr>
                <w:sz w:val="16"/>
                <w:szCs w:val="16"/>
                <w:color w:val="000000"/>
              </w:rPr>
              <w:t xml:space="preserve">Non-overlapping chunks of 200</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Split rule</w:t>
            </w:r>
          </w:p>
        </w:tc>
        <w:tc>
          <w:tcPr>
            <w:tcW w:w="1246" w:type="pct"/>
            <w:tcMar>
              <w:top w:w="10" w:type="dxa"/>
              <w:left w:w="20" w:type="dxa"/>
              <w:bottom w:w="10" w:type="dxa"/>
              <w:right w:w="20" w:type="dxa"/>
            </w:tcMar>
            <w:vAlign w:val="center"/>
          </w:tcPr>
          <w:p>
            <w:r>
              <w:rPr>
                <w:sz w:val="16"/>
                <w:szCs w:val="16"/>
                <w:color w:val="000000"/>
              </w:rPr>
              <w:t xml:space="preserve">Learner-disjoint; 20% test users</w:t>
            </w:r>
          </w:p>
        </w:tc>
        <w:tc>
          <w:tcPr>
            <w:tcW w:w="1196" w:type="pct"/>
            <w:tcMar>
              <w:top w:w="10" w:type="dxa"/>
              <w:left w:w="20" w:type="dxa"/>
              <w:bottom w:w="10" w:type="dxa"/>
              <w:right w:w="20" w:type="dxa"/>
            </w:tcMar>
            <w:vAlign w:val="center"/>
          </w:tcPr>
          <w:p>
            <w:r>
              <w:rPr>
                <w:sz w:val="16"/>
                <w:szCs w:val="16"/>
                <w:color w:val="000000"/>
              </w:rPr>
              <w:t xml:space="preserve">Same learner split</w:t>
            </w:r>
          </w:p>
        </w:tc>
        <w:tc>
          <w:tcPr>
            <w:tcW w:w="1412" w:type="pct"/>
            <w:tcMar>
              <w:top w:w="10" w:type="dxa"/>
              <w:left w:w="20" w:type="dxa"/>
              <w:bottom w:w="10" w:type="dxa"/>
              <w:right w:w="20" w:type="dxa"/>
            </w:tcMar>
            <w:vAlign w:val="center"/>
          </w:tcPr>
          <w:p>
            <w:r>
              <w:rPr>
                <w:sz w:val="16"/>
                <w:szCs w:val="16"/>
                <w:color w:val="000000"/>
              </w:rPr>
              <w:t xml:space="preserve">Same learner split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Provenance</w:t>
            </w:r>
          </w:p>
        </w:tc>
        <w:tc>
          <w:tcPr>
            <w:tcW w:w="1246" w:type="pct"/>
            <w:tcMar>
              <w:top w:w="10" w:type="dxa"/>
              <w:left w:w="20" w:type="dxa"/>
              <w:bottom w:w="10" w:type="dxa"/>
              <w:right w:w="20" w:type="dxa"/>
            </w:tcMar>
            <w:vAlign w:val="center"/>
          </w:tcPr>
          <w:p>
            <w:r>
              <w:rPr>
                <w:sz w:val="16"/>
                <w:szCs w:val="16"/>
                <w:color w:val="000000"/>
              </w:rPr>
              <w:t xml:space="preserve">Commit 4ff6683; baseline_runner.py</w:t>
            </w:r>
          </w:p>
        </w:tc>
        <w:tc>
          <w:tcPr>
            <w:tcW w:w="1196" w:type="pct"/>
            <w:tcMar>
              <w:top w:w="10" w:type="dxa"/>
              <w:left w:w="20" w:type="dxa"/>
              <w:bottom w:w="10" w:type="dxa"/>
              <w:right w:w="20" w:type="dxa"/>
            </w:tcMar>
            <w:vAlign w:val="center"/>
          </w:tcPr>
          <w:p>
            <w:r>
              <w:rPr>
                <w:sz w:val="16"/>
                <w:szCs w:val="16"/>
                <w:color w:val="000000"/>
              </w:rPr>
              <w:t xml:space="preserve">Commit 4ff6683; protocol_v2.py</w:t>
            </w:r>
          </w:p>
        </w:tc>
        <w:tc>
          <w:tcPr>
            <w:tcW w:w="1412" w:type="pct"/>
            <w:tcMar>
              <w:top w:w="10" w:type="dxa"/>
              <w:left w:w="20" w:type="dxa"/>
              <w:bottom w:w="10" w:type="dxa"/>
              <w:right w:w="20" w:type="dxa"/>
            </w:tcMar>
            <w:vAlign w:val="center"/>
          </w:tcPr>
          <w:p>
            <w:r>
              <w:rPr>
                <w:sz w:val="16"/>
                <w:szCs w:val="16"/>
                <w:color w:val="000000"/>
              </w:rPr>
              <w:t xml:space="preserve">Commit 4ff6683; p0_retrain_official_simplekt.py</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rPr>
          <w:color w:val="auto"/>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color w:val="auto"/>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is positive only if the sparse–dense difference exceeds this upper bound on expected small-sample bias. ECE0 is computed from the focal N of that partition. Fold 2 and fold 3 are averaged first, and the reported ΔECE* is the mean of the four unique partitions. It is not the result of subtracting ECE0 once from the mean ΔECE. ΔECE* is not a confidence interval, not a hypothesis test, and not a p-value. The size-matched gap, and the learner-cluster interval computed on fold 0 only, are different quantities.</w:t>
      </w:r>
      <w:proofErr w:type="gramEnd"/>
      <w:r/>
      <w:r>
        <w:rPr>
          <w:vertAlign w:val="subscript"/>
        </w:rPr>
      </w:r>
      <w:r/>
      <w:r>
        <w:rPr>
          <w:i/>
        </w:rPr>
      </w:r>
      <w:r/>
      <w:proofErr w:type="gramStart"/>
      <w:r/>
      <w:proofErr w:type="gramEnd"/>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color w:val="auto"/>
        </w:rPr>
        <w:t xml:space="preserve">sparse</w:t>
      </w:r>
      <w:r>
        <w:t xml:space="preserve"> is the number of sparse rows and </w:t>
      </w:r>
      <w:r>
        <w:t xml:space="preserve">ECE</w:t>
      </w:r>
      <w:r>
        <w:rPr>
          <w:vertAlign w:val="subscript"/>
          <w:color w:val="auto"/>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color w:val="auto"/>
        </w:rPr>
        <w:t xml:space="preserve">sparse</w:t>
      </w:r>
      <w:r>
        <w:t xml:space="preserve">. A draw with fewer than </w:t>
      </w:r>
      <w:r>
        <w:t xml:space="preserve">N</w:t>
      </w:r>
      <w:r>
        <w:rPr>
          <w:vertAlign w:val="subscript"/>
          <w:color w:val="auto"/>
        </w:rPr>
        <w:t xml:space="preserve">sparse</w:t>
      </w:r>
      <w:r>
        <w:t xml:space="preserve"> dense rows is invalid and is omitted from the median. Otherwise a second sample, also without replacement, retains exactly </w:t>
      </w:r>
      <w:r>
        <w:t xml:space="preserve">N</w:t>
      </w:r>
      <w:r>
        <w:rPr>
          <w:vertAlign w:val="subscript"/>
          <w:color w:val="auto"/>
        </w:rPr>
        <w:t xml:space="preserve">sparse</w:t>
      </w:r>
      <w:r>
        <w:t xml:space="preserve"> rows, so a learner whose rows cross </w:t>
      </w:r>
      <w:r>
        <w:t xml:space="preserve">N</w:t>
      </w:r>
      <w:r>
        <w:rPr>
          <w:vertAlign w:val="subscript"/>
          <w:color w:val="auto"/>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color w:val="auto"/>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color w:val="auto"/>
        </w:rPr>
        <w:t xml:space="preserve">N</w:t>
      </w:r>
      <w:r>
        <w:rPr>
          <w:color w:val="auto"/>
          <w:vertAlign w:val="subscript"/>
        </w:rPr>
        <w:t xml:space="preserve">sparse</w:t>
      </w:r>
      <w:r>
        <w:rPr>
          <w:color w:val="auto"/>
        </w:rPr>
        <w:t xml:space="preserve"> rows with replace=False. Stage 2 calls choice 2000 times, with replace=False, to take exactly </w:t>
      </w:r>
      <w:r>
        <w:rPr>
          <w:color w:val="auto"/>
        </w:rPr>
        <w:t xml:space="preserve">N</w:t>
      </w:r>
      <w:r>
        <w:rPr>
          <w:color w:val="auto"/>
          <w:vertAlign w:val="subscript"/>
        </w:rPr>
        <w:t xml:space="preserve">sparse</w:t>
      </w:r>
      <w:r>
        <w:rPr>
          <w:color w:val="auto"/>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color w:val="auto"/>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szCs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szCs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szCs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szCs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szCs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szCs w:val="16"/>
              </w:rPr>
              <w:t>f</w:t>
            </w:r>
            <w:r>
              <w:rPr>
                <w:sz w:val="16"/>
                <w:vertAlign w:val="subscript"/>
                <w:szCs w:val="16"/>
              </w:rPr>
              <w:t>train</w:t>
            </w:r>
            <w:r>
              <w:rPr>
                <w:sz w:val="16"/>
                <w:szCs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szCs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szCs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szCs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szCs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szCs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proofErr w:type="gramStart"/>
      <w:proofErr w:type="gramEnd"/>
      <w:proofErr w:type="gramStart"/>
      <w:proofErr w:type="gramEnd"/>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color w:val="auto"/>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ageBreakBefore/>
        <w:pStyle w:val="figurecaption0"/>
        <w:keepNext/>
        <w:spacing w:before="80" w:after="40"/>
      </w:pPr>
      <w:r>
        <w:rPr>
          <w:color w:val="auto"/>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proofErr w:type="gramStart"/>
      <w:r/>
      <w:proofErr w:type="gramEnd"/>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0640A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p>
        </w:tc>
        <w:tc>
          <w:tcPr>
            <w:tcW w:w="1976" w:type="dxa"/>
            <w:tcMar>
              <w:top w:w="10" w:type="dxa"/>
              <w:left w:w="20" w:type="dxa"/>
              <w:bottom w:w="10" w:type="dxa"/>
              <w:right w:w="20" w:type="dxa"/>
            </w:tcMar>
            <w:vAlign w:val="center"/>
          </w:tcPr>
          <w:p>
            <w:pPr>
              <w:jc w:val="center"/>
            </w:pPr>
            <w:r>
              <w:rPr>
                <w:sz w:val="16"/>
                <w:szCs w:val="16"/>
              </w:rPr>
              <w:t xml:space="preserve">ACC ± SD</w:t>
            </w:r>
          </w:p>
        </w:tc>
        <w:tc>
          <w:tcPr>
            <w:tcW w:w="1520" w:type="dxa"/>
            <w:tcMar>
              <w:top w:w="10" w:type="dxa"/>
              <w:left w:w="20" w:type="dxa"/>
              <w:bottom w:w="10" w:type="dxa"/>
              <w:right w:w="20" w:type="dxa"/>
            </w:tcMar>
            <w:vAlign w:val="center"/>
          </w:tcPr>
          <w:p>
            <w:pPr>
              <w:jc w:val="center"/>
            </w:pPr>
            <w:r>
              <w:rPr>
                <w:sz w:val="16"/>
                <w:szCs w:val="16"/>
              </w:rPr>
              <w:t xml:space="preserve">N</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DKT (primary)</w:t>
            </w:r>
          </w:p>
        </w:tc>
        <w:tc>
          <w:tcPr>
            <w:tcW w:w="1976" w:type="dxa"/>
            <w:tcMar>
              <w:top w:w="10" w:type="dxa"/>
              <w:left w:w="20" w:type="dxa"/>
              <w:bottom w:w="10" w:type="dxa"/>
              <w:right w:w="20" w:type="dxa"/>
            </w:tcMar>
            <w:vAlign w:val="center"/>
          </w:tcPr>
          <w:p>
            <w:pPr>
              <w:jc w:val="center"/>
            </w:pPr>
            <w:r>
              <w:rPr>
                <w:sz w:val="16"/>
                <w:szCs w:val="16"/>
              </w:rPr>
              <w:t xml:space="preserve">0.7303 ± 0.0005</w:t>
            </w:r>
          </w:p>
        </w:tc>
        <w:tc>
          <w:tcPr>
            <w:tcW w:w="1976" w:type="dxa"/>
            <w:tcMar>
              <w:top w:w="10" w:type="dxa"/>
              <w:left w:w="20" w:type="dxa"/>
              <w:bottom w:w="10" w:type="dxa"/>
              <w:right w:w="20" w:type="dxa"/>
            </w:tcMar>
            <w:vAlign w:val="center"/>
          </w:tcPr>
          <w:p>
            <w:pPr>
              <w:jc w:val="center"/>
            </w:pPr>
            <w:r>
              <w:rPr>
                <w:sz w:val="16"/>
                <w:szCs w:val="16"/>
              </w:rPr>
              <w:t xml:space="preserve">0.7354 ± 0.0008</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T-KT masked (primary)</w:t>
            </w:r>
          </w:p>
        </w:tc>
        <w:tc>
          <w:tcPr>
            <w:tcW w:w="1976" w:type="dxa"/>
            <w:tcMar>
              <w:top w:w="10" w:type="dxa"/>
              <w:left w:w="20" w:type="dxa"/>
              <w:bottom w:w="10" w:type="dxa"/>
              <w:right w:w="20" w:type="dxa"/>
            </w:tcMar>
            <w:vAlign w:val="center"/>
          </w:tcPr>
          <w:p>
            <w:pPr>
              <w:jc w:val="center"/>
            </w:pPr>
            <w:r>
              <w:rPr>
                <w:sz w:val="16"/>
                <w:szCs w:val="16"/>
              </w:rPr>
              <w:t xml:space="preserve">0.7244 ± 0.0007</w:t>
            </w:r>
          </w:p>
        </w:tc>
        <w:tc>
          <w:tcPr>
            <w:tcW w:w="1976" w:type="dxa"/>
            <w:tcMar>
              <w:top w:w="10" w:type="dxa"/>
              <w:left w:w="20" w:type="dxa"/>
              <w:bottom w:w="10" w:type="dxa"/>
              <w:right w:w="20" w:type="dxa"/>
            </w:tcMar>
            <w:vAlign w:val="center"/>
          </w:tcPr>
          <w:p>
            <w:pPr>
              <w:jc w:val="center"/>
            </w:pPr>
            <w:r>
              <w:rPr>
                <w:sz w:val="16"/>
                <w:szCs w:val="16"/>
              </w:rPr>
              <w:t xml:space="preserve">0.7314 ± 0.0006</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rPr>
              <w:t xml:space="preserve">DKT (post-hoc)</w:t>
            </w:r>
          </w:p>
        </w:tc>
        <w:tc>
          <w:tcPr>
            <w:tcW w:w="1976" w:type="dxa"/>
            <w:tcMar>
              <w:top w:w="10" w:type="dxa"/>
              <w:left w:w="20" w:type="dxa"/>
              <w:bottom w:w="10" w:type="dxa"/>
              <w:right w:w="20" w:type="dxa"/>
            </w:tcMar>
            <w:vAlign w:val="center"/>
          </w:tcPr>
          <w:p>
            <w:pPr>
              <w:jc w:val="center"/>
            </w:pPr>
            <w:r>
              <w:rPr>
                <w:sz w:val="16"/>
                <w:szCs w:val="16"/>
              </w:rPr>
              <w:t xml:space="preserve">0.7554 ± 0.0012</w:t>
            </w:r>
          </w:p>
        </w:tc>
        <w:tc>
          <w:tcPr>
            <w:tcW w:w="1976" w:type="dxa"/>
            <w:tcMar>
              <w:top w:w="10" w:type="dxa"/>
              <w:left w:w="20" w:type="dxa"/>
              <w:bottom w:w="10" w:type="dxa"/>
              <w:right w:w="20" w:type="dxa"/>
            </w:tcMar>
            <w:vAlign w:val="center"/>
          </w:tcPr>
          <w:p>
            <w:pPr>
              <w:jc w:val="center"/>
            </w:pPr>
            <w:r>
              <w:rPr>
                <w:sz w:val="16"/>
                <w:szCs w:val="16"/>
              </w:rPr>
              <w:t xml:space="preserve">0.7469 ± 0.0013</w:t>
            </w:r>
          </w:p>
        </w:tc>
        <w:tc>
          <w:tcPr>
            <w:tcW w:w="1520" w:type="dxa"/>
            <w:tcMar>
              <w:top w:w="10" w:type="dxa"/>
              <w:left w:w="20" w:type="dxa"/>
              <w:bottom w:w="10" w:type="dxa"/>
              <w:right w:w="20" w:type="dxa"/>
            </w:tcMar>
            <w:vAlign w:val="center"/>
          </w:tcPr>
          <w:p>
            <w:pPr>
              <w:jc w:val="center"/>
            </w:pPr>
            <w:r>
              <w:rPr>
                <w:sz w:val="16"/>
                <w:szCs w:val="16"/>
              </w:rPr>
              <w:t xml:space="preserve">3,204,343</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simpleKT (sensitivity)</w:t>
            </w:r>
          </w:p>
        </w:tc>
        <w:tc>
          <w:tcPr>
            <w:tcW w:w="1976" w:type="dxa"/>
            <w:tcMar>
              <w:top w:w="10" w:type="dxa"/>
              <w:left w:w="20" w:type="dxa"/>
              <w:bottom w:w="10" w:type="dxa"/>
              <w:right w:w="20" w:type="dxa"/>
            </w:tcMar>
            <w:vAlign w:val="center"/>
          </w:tcPr>
          <w:p>
            <w:pPr>
              <w:jc w:val="center"/>
            </w:pPr>
            <w:r>
              <w:rPr>
                <w:sz w:val="16"/>
                <w:szCs w:val="16"/>
              </w:rPr>
              <w:t xml:space="preserve">0.7711 ± 0.0013</w:t>
            </w:r>
          </w:p>
        </w:tc>
        <w:tc>
          <w:tcPr>
            <w:tcW w:w="1976" w:type="dxa"/>
            <w:tcMar>
              <w:top w:w="10" w:type="dxa"/>
              <w:left w:w="20" w:type="dxa"/>
              <w:bottom w:w="10" w:type="dxa"/>
              <w:right w:w="20" w:type="dxa"/>
            </w:tcMar>
            <w:vAlign w:val="center"/>
          </w:tcPr>
          <w:p>
            <w:pPr>
              <w:jc w:val="center"/>
            </w:pPr>
            <w:r>
              <w:rPr>
                <w:sz w:val="16"/>
                <w:szCs w:val="16"/>
              </w:rPr>
              <w:t xml:space="preserve">0.7533 ± 0.0014</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rPr>
              <w:t xml:space="preserve">Any model</w:t>
            </w:r>
          </w:p>
        </w:tc>
        <w:tc>
          <w:tcPr>
            <w:tcW w:w="1976" w:type="dxa"/>
            <w:tcMar>
              <w:top w:w="10" w:type="dxa"/>
              <w:left w:w="20" w:type="dxa"/>
              <w:bottom w:w="10" w:type="dxa"/>
              <w:right w:w="20" w:type="dxa"/>
            </w:tcMar>
            <w:vAlign w:val="center"/>
          </w:tcPr>
          <w:p>
            <w:pPr>
              <w:jc w:val="center"/>
            </w:pPr>
            <w:r>
              <w:rPr>
                <w:sz w:val="16"/>
                <w:szCs w:val="16"/>
              </w:rPr>
              <w:t xml:space="preserve">Not evaluated</w:t>
            </w:r>
          </w:p>
        </w:tc>
        <w:tc>
          <w:tcPr>
            <w:tcW w:w="1976" w:type="dxa"/>
            <w:tcMar>
              <w:top w:w="10" w:type="dxa"/>
              <w:left w:w="20" w:type="dxa"/>
              <w:bottom w:w="10" w:type="dxa"/>
              <w:right w:w="20" w:type="dxa"/>
            </w:tcMar>
            <w:vAlign w:val="center"/>
          </w:tcPr>
          <w:p>
            <w:pPr>
              <w:jc w:val="center"/>
            </w:pPr>
            <w:r>
              <w:rPr>
                <w:sz w:val="16"/>
                <w:szCs w:val="16"/>
              </w:rPr>
              <w:t xml:space="preserve">Not evaluated</w:t>
            </w:r>
          </w:p>
        </w:tc>
        <w:tc>
          <w:tcPr>
            <w:tcW w:w="1520" w:type="dxa"/>
            <w:tcMar>
              <w:top w:w="10" w:type="dxa"/>
              <w:left w:w="20" w:type="dxa"/>
              <w:bottom w:w="10" w:type="dxa"/>
              <w:right w:w="20" w:type="dxa"/>
            </w:tcMar>
            <w:vAlign w:val="center"/>
          </w:tcPr>
          <w:p>
            <w:pPr>
              <w:jc w:val="center"/>
            </w:pPr>
            <w:r>
              <w:rPr>
                <w:sz w:val="16"/>
                <w:szCs w:val="16"/>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color w:val="auto"/>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vertAlign w:val="subscript"/>
        </w:rPr>
      </w:r>
      <w:r>
        <w:rPr/>
      </w:r>
      <w:r>
        <w:rPr/>
      </w:r>
      <w:r>
        <w:rPr>
          <w:color w:val="000000"/>
        </w:rPr>
      </w:r>
    </w:p>
    <w:p w:rsidR="00C62791" w:rsidRDefault="00AA3681" w:rsidP="00607E6B">
      <w:pPr>
        <w:pStyle w:val="Text"/>
        <w:spacing w:line="252" w:lineRule="exact"/>
      </w:pPr>
      <w:r>
        <w:rPr>
          <w:color w:val="auto"/>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color w:val="000000"/>
        </w:rPr>
      </w:r>
      <w:r>
        <w:rPr/>
      </w:r>
      <w:r>
        <w:rPr>
          <w:color w:val="000000"/>
        </w:rPr>
      </w:r>
      <w:r>
        <w:rPr/>
      </w:r>
      <w:r>
        <w:rPr/>
      </w:r>
      <w:r>
        <w:rPr>
          <w:vertAlign w:val="subscript"/>
        </w:rPr>
      </w:r>
      <w:r>
        <w:rPr/>
      </w:r>
      <w:r>
        <w:rPr>
          <w:color w:val="000000"/>
        </w:rPr>
      </w:r>
      <w:r>
        <w:rPr/>
      </w:r>
    </w:p>
    <w:p w:rsidR="00C62791" w:rsidRDefault="00AA3681" w:rsidP="00607E6B">
      <w:pPr>
        <w:pStyle w:val="Text"/>
        <w:spacing w:line="252" w:lineRule="exact"/>
      </w:pPr>
      <w:r>
        <w:rPr>
          <w:color w:val="auto"/>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color w:val="auto"/>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color w:val="000000"/>
        </w:rPr>
      </w:r>
      <w:r>
        <w:rPr/>
      </w:r>
      <w:r>
        <w:rPr>
          <w:i/>
        </w:rPr>
      </w:r>
      <w:r>
        <w:rPr/>
      </w:r>
      <w:r>
        <w:rPr>
          <w:i/>
        </w:rPr>
      </w:r>
      <w:r>
        <w:rPr/>
      </w:r>
      <w:r>
        <w:rPr>
          <w:vertAlign w:val="subscript"/>
        </w:rPr>
      </w:r>
      <w:r>
        <w:rPr/>
      </w:r>
      <w:r>
        <w:rPr>
          <w:i/>
        </w:rPr>
      </w:r>
      <w:r>
        <w:rPr/>
      </w:r>
      <w:r>
        <w:rPr>
          <w:i/>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0640A2">
        <w:trPr>
          <w:cantSplit/>
          <w:tblHeader/>
          <w:jc w:val="center"/>
        </w:trPr>
        <w:tc>
          <w:tcPr>
            <w:tcW w:w="132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rPr>
              <w:t>Model</w:t>
            </w:r>
          </w:p>
        </w:tc>
        <w:tc>
          <w:tcPr>
            <w:tcW w:w="1360" w:type="dxa"/>
            <w:tcMar>
              <w:top w:w="10" w:type="dxa"/>
              <w:left w:w="20" w:type="dxa"/>
              <w:bottom w:w="10" w:type="dxa"/>
              <w:right w:w="20" w:type="dxa"/>
            </w:tcMar>
            <w:vAlign w:val="center"/>
          </w:tcPr>
          <w:p>
            <w:pPr>
              <w:jc w:val="center"/>
            </w:pPr>
            <w:r>
              <w:rPr>
                <w:sz w:val="16"/>
                <w:szCs w:val="16"/>
              </w:rPr>
              <w:t>Group (support)</w:t>
            </w:r>
          </w:p>
        </w:tc>
        <w:tc>
          <w:tcPr>
            <w:tcW w:w="640" w:type="dxa"/>
            <w:tcMar>
              <w:top w:w="10" w:type="dxa"/>
              <w:left w:w="20" w:type="dxa"/>
              <w:bottom w:w="10" w:type="dxa"/>
              <w:right w:w="20" w:type="dxa"/>
            </w:tcMar>
            <w:vAlign w:val="center"/>
          </w:tcPr>
          <w:p>
            <w:pPr>
              <w:jc w:val="center"/>
            </w:pPr>
            <w:r>
              <w:rPr>
                <w:sz w:val="16"/>
                <w:szCs w:val="16"/>
              </w:rPr>
              <w:t>N</w:t>
            </w:r>
          </w:p>
        </w:tc>
        <w:tc>
          <w:tcPr>
            <w:tcW w:w="1080" w:type="dxa"/>
            <w:tcMar>
              <w:top w:w="10" w:type="dxa"/>
              <w:left w:w="20" w:type="dxa"/>
              <w:bottom w:w="10" w:type="dxa"/>
              <w:right w:w="20" w:type="dxa"/>
            </w:tcMar>
            <w:vAlign w:val="center"/>
          </w:tcPr>
          <w:p>
            <w:pPr>
              <w:jc w:val="center"/>
            </w:pPr>
            <w:r>
              <w:rPr>
                <w:sz w:val="16"/>
                <w:szCs w:val="16"/>
              </w:rPr>
              <w:t>ECE</w:t>
            </w:r>
          </w:p>
        </w:tc>
        <w:tc>
          <w:tcPr>
            <w:tcW w:w="1080" w:type="dxa"/>
            <w:tcMar>
              <w:top w:w="10" w:type="dxa"/>
              <w:left w:w="20" w:type="dxa"/>
              <w:bottom w:w="10" w:type="dxa"/>
              <w:right w:w="20" w:type="dxa"/>
            </w:tcMar>
            <w:vAlign w:val="center"/>
          </w:tcPr>
          <w:p>
            <w:pPr>
              <w:jc w:val="center"/>
            </w:pPr>
            <w:r>
              <w:rPr>
                <w:sz w:val="16"/>
                <w:szCs w:val="16"/>
              </w:rPr>
              <w:t>ΔECE</w:t>
            </w:r>
          </w:p>
        </w:tc>
        <w:tc>
          <w:tcPr>
            <w:tcW w:w="1100" w:type="dxa"/>
            <w:tcMar>
              <w:top w:w="10" w:type="dxa"/>
              <w:left w:w="20" w:type="dxa"/>
              <w:bottom w:w="10" w:type="dxa"/>
              <w:right w:w="20" w:type="dxa"/>
            </w:tcMar>
            <w:vAlign w:val="center"/>
          </w:tcPr>
          <w:p>
            <w:pPr>
              <w:jc w:val="center"/>
            </w:pPr>
            <w:r>
              <w:rPr>
                <w:sz w:val="16"/>
                <w:szCs w:val="16"/>
              </w:rPr>
              <w:t>ΔECE*</w:t>
            </w:r>
          </w:p>
        </w:tc>
        <w:tc>
          <w:tcPr>
            <w:tcW w:w="1080" w:type="dxa"/>
            <w:tcMar>
              <w:top w:w="10" w:type="dxa"/>
              <w:left w:w="20" w:type="dxa"/>
              <w:bottom w:w="10" w:type="dxa"/>
              <w:right w:w="20" w:type="dxa"/>
            </w:tcMar>
            <w:vAlign w:val="center"/>
          </w:tcPr>
          <w:p>
            <w:pPr>
              <w:jc w:val="center"/>
            </w:pPr>
            <w:r>
              <w:rPr>
                <w:sz w:val="16"/>
                <w:szCs w:val="16"/>
              </w:rPr>
              <w:t>Matched gap</w:t>
            </w:r>
          </w:p>
        </w:tc>
        <w:tc>
          <w:tcPr>
            <w:tcW w:w="1375" w:type="dxa"/>
            <w:tcMar>
              <w:top w:w="10" w:type="dxa"/>
              <w:left w:w="20" w:type="dxa"/>
              <w:bottom w:w="10" w:type="dxa"/>
              <w:right w:w="20" w:type="dxa"/>
            </w:tcMar>
            <w:vAlign w:val="center"/>
          </w:tcPr>
          <w:p>
            <w:pPr>
              <w:jc w:val="center"/>
            </w:pPr>
            <w:r>
              <w:rPr>
                <w:sz w:val="16"/>
                <w:szCs w:val="16"/>
              </w:rPr>
              <w:t>95% CI (fold 0 gap)</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sparse (Limited)</w:t>
            </w:r>
          </w:p>
        </w:tc>
        <w:tc>
          <w:tcPr>
            <w:tcW w:w="640" w:type="dxa"/>
            <w:tcMar>
              <w:top w:w="10" w:type="dxa"/>
              <w:left w:w="20" w:type="dxa"/>
              <w:bottom w:w="10" w:type="dxa"/>
              <w:right w:w="20" w:type="dxa"/>
            </w:tcMar>
            <w:vAlign w:val="center"/>
          </w:tcPr>
          <w:p>
            <w:pPr>
              <w:jc w:val="center"/>
            </w:pPr>
            <w:r>
              <w:rPr>
                <w:sz w:val="16"/>
                <w:szCs w:val="16"/>
              </w:rPr>
              <w:t xml:space="preserve">398</w:t>
            </w:r>
          </w:p>
        </w:tc>
        <w:tc>
          <w:tcPr>
            <w:tcW w:w="1080" w:type="dxa"/>
            <w:tcMar>
              <w:top w:w="10" w:type="dxa"/>
              <w:left w:w="20" w:type="dxa"/>
              <w:bottom w:w="10" w:type="dxa"/>
              <w:right w:w="20" w:type="dxa"/>
            </w:tcMar>
            <w:vAlign w:val="center"/>
          </w:tcPr>
          <w:p>
            <w:pPr>
              <w:jc w:val="center"/>
            </w:pPr>
            <w:r>
              <w:rPr>
                <w:sz w:val="16"/>
                <w:szCs w:val="16"/>
              </w:rPr>
              <w:t xml:space="preserve">0.0982 ± 0.0093</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0.0893 ± 0.0091</w:t>
            </w:r>
            <w:r>
              <w:rPr>
                <w:sz w:val="16"/>
                <w:szCs w:val="16"/>
              </w:rPr>
              <w:br/>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−0.0081 ± 0.0122</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0.0400 ± 0.0107</w:t>
            </w:r>
            <w:r>
              <w:rPr>
                <w:sz w:val="16"/>
                <w:szCs w:val="16"/>
              </w:rPr>
              <w:br/>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0.0170 to 0.0821</w:t>
            </w:r>
            <w:r>
              <w:rPr>
                <w:sz w:val="16"/>
                <w:szCs w:val="16"/>
              </w:rPr>
              <w:br/>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dense (Reliable)</w:t>
            </w:r>
          </w:p>
        </w:tc>
        <w:tc>
          <w:tcPr>
            <w:tcW w:w="640" w:type="dxa"/>
            <w:tcMar>
              <w:top w:w="10" w:type="dxa"/>
              <w:left w:w="20" w:type="dxa"/>
              <w:bottom w:w="10" w:type="dxa"/>
              <w:right w:w="20" w:type="dxa"/>
            </w:tcMar>
            <w:vAlign w:val="center"/>
          </w:tcPr>
          <w:p>
            <w:pPr>
              <w:jc w:val="center"/>
            </w:pPr>
            <w:r>
              <w:rPr>
                <w:sz w:val="16"/>
                <w:szCs w:val="16"/>
              </w:rPr>
              <w:t xml:space="preserve">517,330</w:t>
            </w:r>
          </w:p>
        </w:tc>
        <w:tc>
          <w:tcPr>
            <w:tcW w:w="1080" w:type="dxa"/>
            <w:tcMar>
              <w:top w:w="10" w:type="dxa"/>
              <w:left w:w="20" w:type="dxa"/>
              <w:bottom w:w="10" w:type="dxa"/>
              <w:right w:w="20" w:type="dxa"/>
            </w:tcMar>
            <w:vAlign w:val="center"/>
          </w:tcPr>
          <w:p>
            <w:pPr>
              <w:jc w:val="center"/>
            </w:pPr>
            <w:r>
              <w:rPr>
                <w:sz w:val="16"/>
                <w:szCs w:val="16"/>
              </w:rPr>
              <w:t xml:space="preserve">0.0089 ± 0.0013</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360" w:type="dxa"/>
            <w:tcMar>
              <w:top w:w="10" w:type="dxa"/>
              <w:left w:w="20" w:type="dxa"/>
              <w:bottom w:w="10" w:type="dxa"/>
              <w:right w:w="20" w:type="dxa"/>
            </w:tcMar>
            <w:vAlign w:val="center"/>
          </w:tcPr>
          <w:p>
            <w:pPr>
              <w:jc w:val="center"/>
            </w:pPr>
            <w:r>
              <w:rPr>
                <w:sz w:val="16"/>
                <w:szCs w:val="16"/>
              </w:rPr>
              <w:t xml:space="preserve">sparse (Limited)</w:t>
            </w:r>
          </w:p>
        </w:tc>
        <w:tc>
          <w:tcPr>
            <w:tcW w:w="640" w:type="dxa"/>
            <w:tcMar>
              <w:top w:w="10" w:type="dxa"/>
              <w:left w:w="20" w:type="dxa"/>
              <w:bottom w:w="10" w:type="dxa"/>
              <w:right w:w="20" w:type="dxa"/>
            </w:tcMar>
            <w:vAlign w:val="center"/>
          </w:tcPr>
          <w:p>
            <w:pPr>
              <w:jc w:val="center"/>
            </w:pPr>
            <w:r>
              <w:rPr>
                <w:sz w:val="16"/>
                <w:szCs w:val="16"/>
              </w:rPr>
              <w:t xml:space="preserve">398</w:t>
            </w:r>
          </w:p>
        </w:tc>
        <w:tc>
          <w:tcPr>
            <w:tcW w:w="1080" w:type="dxa"/>
            <w:tcMar>
              <w:top w:w="10" w:type="dxa"/>
              <w:left w:w="20" w:type="dxa"/>
              <w:bottom w:w="10" w:type="dxa"/>
              <w:right w:w="20" w:type="dxa"/>
            </w:tcMar>
            <w:vAlign w:val="center"/>
          </w:tcPr>
          <w:p>
            <w:pPr>
              <w:jc w:val="center"/>
            </w:pPr>
            <w:r>
              <w:rPr>
                <w:sz w:val="16"/>
                <w:szCs w:val="16"/>
              </w:rPr>
              <w:t xml:space="preserve">0.1199 ± 0.0247</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0.1041 ± 0.0215</w:t>
            </w:r>
            <w:r>
              <w:rPr>
                <w:sz w:val="16"/>
                <w:szCs w:val="16"/>
              </w:rPr>
              <w:br/>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0.0068 ± 0.0207</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0.0581 ± 0.0230</w:t>
            </w:r>
            <w:r>
              <w:rPr>
                <w:sz w:val="16"/>
                <w:szCs w:val="16"/>
              </w:rPr>
              <w:br/>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0.0233 to 0.0878</w:t>
            </w:r>
            <w:r>
              <w:rPr>
                <w:sz w:val="16"/>
                <w:szCs w:val="16"/>
              </w:rPr>
              <w:br/>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360" w:type="dxa"/>
            <w:tcMar>
              <w:top w:w="10" w:type="dxa"/>
              <w:left w:w="20" w:type="dxa"/>
              <w:bottom w:w="10" w:type="dxa"/>
              <w:right w:w="20" w:type="dxa"/>
            </w:tcMar>
            <w:vAlign w:val="center"/>
          </w:tcPr>
          <w:p>
            <w:pPr>
              <w:jc w:val="center"/>
            </w:pPr>
            <w:r>
              <w:rPr>
                <w:sz w:val="16"/>
                <w:szCs w:val="16"/>
              </w:rPr>
              <w:t xml:space="preserve">dense (Reliable)</w:t>
            </w:r>
          </w:p>
        </w:tc>
        <w:tc>
          <w:tcPr>
            <w:tcW w:w="640" w:type="dxa"/>
            <w:tcMar>
              <w:top w:w="10" w:type="dxa"/>
              <w:left w:w="20" w:type="dxa"/>
              <w:bottom w:w="10" w:type="dxa"/>
              <w:right w:w="20" w:type="dxa"/>
            </w:tcMar>
            <w:vAlign w:val="center"/>
          </w:tcPr>
          <w:p>
            <w:pPr>
              <w:jc w:val="center"/>
            </w:pPr>
            <w:r>
              <w:rPr>
                <w:sz w:val="16"/>
                <w:szCs w:val="16"/>
              </w:rPr>
              <w:t xml:space="preserve">517,330</w:t>
            </w:r>
          </w:p>
        </w:tc>
        <w:tc>
          <w:tcPr>
            <w:tcW w:w="1080" w:type="dxa"/>
            <w:tcMar>
              <w:top w:w="10" w:type="dxa"/>
              <w:left w:w="20" w:type="dxa"/>
              <w:bottom w:w="10" w:type="dxa"/>
              <w:right w:w="20" w:type="dxa"/>
            </w:tcMar>
            <w:vAlign w:val="center"/>
          </w:tcPr>
          <w:p>
            <w:pPr>
              <w:jc w:val="center"/>
            </w:pPr>
            <w:r>
              <w:rPr>
                <w:sz w:val="16"/>
                <w:szCs w:val="16"/>
              </w:rPr>
              <w:t xml:space="preserve">0.0158 ± 0.0032</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medium (Reliable)</w:t>
            </w:r>
          </w:p>
        </w:tc>
        <w:tc>
          <w:tcPr>
            <w:tcW w:w="640" w:type="dxa"/>
            <w:tcMar>
              <w:top w:w="10" w:type="dxa"/>
              <w:left w:w="20" w:type="dxa"/>
              <w:bottom w:w="10" w:type="dxa"/>
              <w:right w:w="20" w:type="dxa"/>
            </w:tcMar>
            <w:vAlign w:val="center"/>
          </w:tcPr>
          <w:p>
            <w:pPr>
              <w:jc w:val="center"/>
            </w:pPr>
            <w:r>
              <w:rPr>
                <w:sz w:val="16"/>
                <w:szCs w:val="16"/>
              </w:rPr>
              <w:t xml:space="preserve">3,677</w:t>
            </w:r>
          </w:p>
        </w:tc>
        <w:tc>
          <w:tcPr>
            <w:tcW w:w="1080" w:type="dxa"/>
            <w:tcMar>
              <w:top w:w="10" w:type="dxa"/>
              <w:left w:w="20" w:type="dxa"/>
              <w:bottom w:w="10" w:type="dxa"/>
              <w:right w:w="20" w:type="dxa"/>
            </w:tcMar>
            <w:vAlign w:val="center"/>
          </w:tcPr>
          <w:p>
            <w:pPr>
              <w:jc w:val="center"/>
            </w:pPr>
            <w:r>
              <w:rPr>
                <w:sz w:val="16"/>
                <w:szCs w:val="16"/>
              </w:rPr>
              <w:t xml:space="preserve">0.0345 ± 0.0080</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0.0302 ± 0.0069</w:t>
            </w:r>
            <w:r>
              <w:rPr>
                <w:sz w:val="16"/>
                <w:szCs w:val="16"/>
              </w:rPr>
              <w:br/>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−0.0032 ± 0.0067</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0.0115 ± 0.0073</w:t>
            </w:r>
            <w:r>
              <w:rPr>
                <w:sz w:val="16"/>
                <w:szCs w:val="16"/>
              </w:rPr>
              <w:br/>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0.0010 to 0.0434</w:t>
            </w:r>
            <w:r>
              <w:rPr>
                <w:sz w:val="16"/>
                <w:szCs w:val="16"/>
              </w:rPr>
              <w:br/>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dense (Reliable)</w:t>
            </w:r>
          </w:p>
        </w:tc>
        <w:tc>
          <w:tcPr>
            <w:tcW w:w="640" w:type="dxa"/>
            <w:tcMar>
              <w:top w:w="10" w:type="dxa"/>
              <w:left w:w="20" w:type="dxa"/>
              <w:bottom w:w="10" w:type="dxa"/>
              <w:right w:w="20" w:type="dxa"/>
            </w:tcMar>
            <w:vAlign w:val="center"/>
          </w:tcPr>
          <w:p>
            <w:pPr>
              <w:jc w:val="center"/>
            </w:pPr>
            <w:r>
              <w:rPr>
                <w:sz w:val="16"/>
                <w:szCs w:val="16"/>
              </w:rPr>
              <w:t xml:space="preserve">3,200,666</w:t>
            </w:r>
          </w:p>
        </w:tc>
        <w:tc>
          <w:tcPr>
            <w:tcW w:w="1080" w:type="dxa"/>
            <w:tcMar>
              <w:top w:w="10" w:type="dxa"/>
              <w:left w:w="20" w:type="dxa"/>
              <w:bottom w:w="10" w:type="dxa"/>
              <w:right w:w="20" w:type="dxa"/>
            </w:tcMar>
            <w:vAlign w:val="center"/>
          </w:tcPr>
          <w:p>
            <w:pPr>
              <w:jc w:val="center"/>
            </w:pPr>
            <w:r>
              <w:rPr>
                <w:sz w:val="16"/>
                <w:szCs w:val="16"/>
              </w:rPr>
              <w:t xml:space="preserve">0.0043 ± 0.0021</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color w:val="auto"/>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
    </w:p>
    <w:p w:rsidR="00C62791" w:rsidRDefault="00AA3681" w:rsidP="00607E6B">
      <w:pPr>
        <w:pStyle w:val="Text"/>
        <w:spacing w:line="252" w:lineRule="exact"/>
      </w:pPr>
      <w:r>
        <w:rPr>
          <w:color w:val="auto"/>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0640A2">
        <w:trPr>
          <w:cantSplit/>
          <w:tblHeader/>
          <w:jc w:val="center"/>
        </w:trPr>
        <w:tc>
          <w:tcPr>
            <w:tcW w:w="1320" w:type="dxa"/>
            <w:tcMar>
              <w:top w:w="10" w:type="dxa"/>
              <w:left w:w="20" w:type="dxa"/>
              <w:bottom w:w="10" w:type="dxa"/>
              <w:right w:w="20" w:type="dxa"/>
            </w:tcMar>
            <w:vAlign w:val="center"/>
          </w:tcPr>
          <w:p>
            <w:r>
              <w:rPr>
                <w:sz w:val="16"/>
                <w:szCs w:val="16"/>
              </w:rPr>
              <w:t xml:space="preserve">Question</w:t>
            </w:r>
          </w:p>
        </w:tc>
        <w:tc>
          <w:tcPr>
            <w:tcW w:w="1000" w:type="dxa"/>
            <w:tcMar>
              <w:top w:w="10" w:type="dxa"/>
              <w:left w:w="20" w:type="dxa"/>
              <w:bottom w:w="10" w:type="dxa"/>
              <w:right w:w="20" w:type="dxa"/>
            </w:tcMar>
            <w:vAlign w:val="center"/>
          </w:tcPr>
          <w:p>
            <w:r>
              <w:rPr>
                <w:sz w:val="16"/>
                <w:szCs w:val="16"/>
              </w:rPr>
              <w:t xml:space="preserve">ASSISTments 2012</w:t>
            </w:r>
          </w:p>
        </w:tc>
        <w:tc>
          <w:tcPr>
            <w:tcW w:w="1360" w:type="dxa"/>
            <w:tcMar>
              <w:top w:w="10" w:type="dxa"/>
              <w:left w:w="20" w:type="dxa"/>
              <w:bottom w:w="10" w:type="dxa"/>
              <w:right w:w="20" w:type="dxa"/>
            </w:tcMar>
            <w:vAlign w:val="center"/>
          </w:tcPr>
          <w:p>
            <w:r>
              <w:rPr>
                <w:sz w:val="16"/>
                <w:szCs w:val="16"/>
              </w:rPr>
              <w:t xml:space="preserve">Junyi Academy</w:t>
            </w:r>
          </w:p>
        </w:tc>
        <w:tc>
          <w:tcPr>
            <w:tcW w:w="640" w:type="dxa"/>
            <w:tcMar>
              <w:top w:w="10" w:type="dxa"/>
              <w:left w:w="20" w:type="dxa"/>
              <w:bottom w:w="10" w:type="dxa"/>
              <w:right w:w="20" w:type="dxa"/>
            </w:tcMar>
            <w:vAlign w:val="center"/>
          </w:tcPr>
          <w:p>
            <w:r>
              <w:rPr>
                <w:sz w:val="16"/>
                <w:szCs w:val="16"/>
              </w:rPr>
              <w:t xml:space="preserve">XES3G5M</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Sparse group present?</w:t>
            </w:r>
          </w:p>
        </w:tc>
        <w:tc>
          <w:tcPr>
            <w:tcW w:w="1000" w:type="dxa"/>
            <w:tcMar>
              <w:top w:w="10" w:type="dxa"/>
              <w:left w:w="20" w:type="dxa"/>
              <w:bottom w:w="10" w:type="dxa"/>
              <w:right w:w="20" w:type="dxa"/>
            </w:tcMar>
            <w:vAlign w:val="center"/>
          </w:tcPr>
          <w:p>
            <w:r>
              <w:rPr>
                <w:sz w:val="16"/>
                <w:szCs w:val="16"/>
              </w:rPr>
              <w:t xml:space="preserve">Yes (Limited)</w:t>
            </w:r>
          </w:p>
        </w:tc>
        <w:tc>
          <w:tcPr>
            <w:tcW w:w="1360" w:type="dxa"/>
            <w:tcMar>
              <w:top w:w="10" w:type="dxa"/>
              <w:left w:w="20" w:type="dxa"/>
              <w:bottom w:w="10" w:type="dxa"/>
              <w:right w:w="20" w:type="dxa"/>
            </w:tcMar>
            <w:vAlign w:val="center"/>
          </w:tcPr>
          <w:p>
            <w:r>
              <w:rPr>
                <w:sz w:val="16"/>
                <w:szCs w:val="16"/>
              </w:rPr>
              <w:t xml:space="preserve">No</w:t>
            </w:r>
          </w:p>
        </w:tc>
        <w:tc>
          <w:tcPr>
            <w:tcW w:w="640" w:type="dxa"/>
            <w:tcMar>
              <w:top w:w="10" w:type="dxa"/>
              <w:left w:w="20" w:type="dxa"/>
              <w:bottom w:w="10" w:type="dxa"/>
              <w:right w:w="20" w:type="dxa"/>
            </w:tcMar>
            <w:vAlign w:val="center"/>
          </w:tcPr>
          <w:p>
            <w:r>
              <w:rPr>
                <w:sz w:val="16"/>
                <w:szCs w:val="16"/>
              </w:rPr>
              <w:t xml:space="preserve">KC-level tail only</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L1–L8 PASS?</w:t>
            </w:r>
          </w:p>
        </w:tc>
        <w:tc>
          <w:tcPr>
            <w:tcW w:w="1000" w:type="dxa"/>
            <w:tcMar>
              <w:top w:w="10" w:type="dxa"/>
              <w:left w:w="20" w:type="dxa"/>
              <w:bottom w:w="10" w:type="dxa"/>
              <w:right w:w="20" w:type="dxa"/>
            </w:tcMar>
            <w:vAlign w:val="center"/>
          </w:tcPr>
          <w:p>
            <w:r>
              <w:rPr>
                <w:sz w:val="16"/>
                <w:szCs w:val="16"/>
              </w:rPr>
              <w:t xml:space="preserve">L1–L7 PASS; L8 not applicable (one row per response)</w:t>
            </w:r>
          </w:p>
        </w:tc>
        <w:tc>
          <w:tcPr>
            <w:tcW w:w="1360" w:type="dxa"/>
            <w:tcMar>
              <w:top w:w="10" w:type="dxa"/>
              <w:left w:w="20" w:type="dxa"/>
              <w:bottom w:w="10" w:type="dxa"/>
              <w:right w:w="20" w:type="dxa"/>
            </w:tcMar>
            <w:vAlign w:val="center"/>
          </w:tcPr>
          <w:p>
            <w:r>
              <w:rPr>
                <w:sz w:val="16"/>
                <w:szCs w:val="16"/>
              </w:rPr>
              <w:t xml:space="preserve">L1–L7 PASS; L8 not applicable (one row per response)</w:t>
            </w:r>
          </w:p>
        </w:tc>
        <w:tc>
          <w:tcPr>
            <w:tcW w:w="640" w:type="dxa"/>
            <w:tcMar>
              <w:top w:w="10" w:type="dxa"/>
              <w:left w:w="20" w:type="dxa"/>
              <w:bottom w:w="10" w:type="dxa"/>
              <w:right w:w="20" w:type="dxa"/>
            </w:tcMar>
            <w:vAlign w:val="center"/>
          </w:tcPr>
          <w:p>
            <w:r>
              <w:rPr>
                <w:sz w:val="16"/>
                <w:szCs w:val="16"/>
              </w:rPr>
              <w:t xml:space="preserve">L1–L7 PASS; L8 FAIL</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Eligible model contrast?</w:t>
            </w:r>
          </w:p>
        </w:tc>
        <w:tc>
          <w:tcPr>
            <w:tcW w:w="1000" w:type="dxa"/>
            <w:tcMar>
              <w:top w:w="10" w:type="dxa"/>
              <w:left w:w="20" w:type="dxa"/>
              <w:bottom w:w="10" w:type="dxa"/>
              <w:right w:w="20" w:type="dxa"/>
            </w:tcMar>
            <w:vAlign w:val="center"/>
          </w:tcPr>
          <w:p>
            <w:r>
              <w:rPr>
                <w:sz w:val="16"/>
                <w:szCs w:val="16"/>
              </w:rPr>
              <w:t xml:space="preserve">Yes: DKT and T-KT masked</w:t>
            </w:r>
          </w:p>
        </w:tc>
        <w:tc>
          <w:tcPr>
            <w:tcW w:w="1360" w:type="dxa"/>
            <w:tcMar>
              <w:top w:w="10" w:type="dxa"/>
              <w:left w:w="20" w:type="dxa"/>
              <w:bottom w:w="10" w:type="dxa"/>
              <w:right w:w="20" w:type="dxa"/>
            </w:tcMar>
            <w:vAlign w:val="center"/>
          </w:tcPr>
          <w:p>
            <w:r>
              <w:rPr>
                <w:sz w:val="16"/>
                <w:szCs w:val="16"/>
              </w:rPr>
              <w:t xml:space="preserve">Post-hoc medium versus dense (DKT)</w:t>
            </w:r>
          </w:p>
        </w:tc>
        <w:tc>
          <w:tcPr>
            <w:tcW w:w="640" w:type="dxa"/>
            <w:tcMar>
              <w:top w:w="10" w:type="dxa"/>
              <w:left w:w="20" w:type="dxa"/>
              <w:bottom w:w="10" w:type="dxa"/>
              <w:right w:w="20" w:type="dxa"/>
            </w:tcMar>
            <w:vAlign w:val="center"/>
          </w:tcPr>
          <w:p>
            <w:r>
              <w:rPr>
                <w:sz w:val="16"/>
                <w:szCs w:val="16"/>
              </w:rPr>
              <w:t xml:space="preserve">No</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Direction</w:t>
            </w:r>
          </w:p>
        </w:tc>
        <w:tc>
          <w:tcPr>
            <w:tcW w:w="1000" w:type="dxa"/>
            <w:tcMar>
              <w:top w:w="10" w:type="dxa"/>
              <w:left w:w="20" w:type="dxa"/>
              <w:bottom w:w="10" w:type="dxa"/>
              <w:right w:w="20" w:type="dxa"/>
            </w:tcMar>
            <w:vAlign w:val="center"/>
          </w:tcPr>
          <w:p>
            <w:r>
              <w:rPr>
                <w:sz w:val="16"/>
                <w:szCs w:val="16"/>
              </w:rPr>
              <w:t xml:space="preserve">Mean ΔECE and G positive for both models; G positive in every partition; ΔECE* mixed in sign</w:t>
            </w:r>
          </w:p>
        </w:tc>
        <w:tc>
          <w:tcPr>
            <w:tcW w:w="1360" w:type="dxa"/>
            <w:tcMar>
              <w:top w:w="10" w:type="dxa"/>
              <w:left w:w="20" w:type="dxa"/>
              <w:bottom w:w="10" w:type="dxa"/>
              <w:right w:w="20" w:type="dxa"/>
            </w:tcMar>
            <w:vAlign w:val="center"/>
          </w:tcPr>
          <w:p>
            <w:r>
              <w:rPr>
                <w:sz w:val="16"/>
                <w:szCs w:val="16"/>
              </w:rPr>
              <w:t xml:space="preserve">Mean ΔECE 0.0302 and G 0.0115 positive; ΔECE* −0.0032</w:t>
            </w:r>
          </w:p>
        </w:tc>
        <w:tc>
          <w:tcPr>
            <w:tcW w:w="640" w:type="dxa"/>
            <w:tcMar>
              <w:top w:w="10" w:type="dxa"/>
              <w:left w:w="20" w:type="dxa"/>
              <w:bottom w:w="10" w:type="dxa"/>
              <w:right w:w="20" w:type="dxa"/>
            </w:tcMar>
            <w:vAlign w:val="center"/>
          </w:tcPr>
          <w:p>
            <w:r>
              <w:rPr>
                <w:sz w:val="16"/>
                <w:szCs w:val="16"/>
              </w:rPr>
              <w:t xml:space="preserve">Not evaluated</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Uncertainty</w:t>
            </w:r>
          </w:p>
        </w:tc>
        <w:tc>
          <w:tcPr>
            <w:tcW w:w="1000" w:type="dxa"/>
            <w:tcMar>
              <w:top w:w="10" w:type="dxa"/>
              <w:left w:w="20" w:type="dxa"/>
              <w:bottom w:w="10" w:type="dxa"/>
              <w:right w:w="20" w:type="dxa"/>
            </w:tcMar>
            <w:vAlign w:val="center"/>
          </w:tcPr>
          <w:p>
            <w:r>
              <w:rPr>
                <w:sz w:val="16"/>
                <w:szCs w:val="16"/>
              </w:rPr>
              <w:t xml:space="preserve">Fold-0 learner-cluster interval of G excludes 0 (primary); per-partition intervals in Table A5 also exclude 0</w:t>
            </w:r>
          </w:p>
        </w:tc>
        <w:tc>
          <w:tcPr>
            <w:tcW w:w="1360" w:type="dxa"/>
            <w:tcMar>
              <w:top w:w="10" w:type="dxa"/>
              <w:left w:w="20" w:type="dxa"/>
              <w:bottom w:w="10" w:type="dxa"/>
              <w:right w:w="20" w:type="dxa"/>
            </w:tcMar>
            <w:vAlign w:val="center"/>
          </w:tcPr>
          <w:p>
            <w:r>
              <w:rPr>
                <w:sz w:val="16"/>
                <w:szCs w:val="16"/>
              </w:rPr>
              <w:t xml:space="preserve">Fold-0 interval of G 0.0010 to 0.0434; post-hoc</w:t>
            </w:r>
          </w:p>
        </w:tc>
        <w:tc>
          <w:tcPr>
            <w:tcW w:w="640" w:type="dxa"/>
            <w:tcMar>
              <w:top w:w="10" w:type="dxa"/>
              <w:left w:w="20" w:type="dxa"/>
              <w:bottom w:w="10" w:type="dxa"/>
              <w:right w:w="20" w:type="dxa"/>
            </w:tcMar>
            <w:vAlign w:val="center"/>
          </w:tcPr>
          <w:p>
            <w:r>
              <w:rPr>
                <w:sz w:val="16"/>
                <w:szCs w:val="16"/>
              </w:rPr>
              <w:t xml:space="preserve">Not evaluated</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Protocol/evidence status</w:t>
            </w:r>
          </w:p>
        </w:tc>
        <w:tc>
          <w:tcPr>
            <w:tcW w:w="1000" w:type="dxa"/>
            <w:tcMar>
              <w:top w:w="10" w:type="dxa"/>
              <w:left w:w="20" w:type="dxa"/>
              <w:bottom w:w="10" w:type="dxa"/>
              <w:right w:w="20" w:type="dxa"/>
            </w:tcMar>
            <w:vAlign w:val="center"/>
          </w:tcPr>
          <w:p>
            <w:r>
              <w:rPr>
                <w:sz w:val="16"/>
                <w:szCs w:val="16"/>
              </w:rPr>
              <w:t xml:space="preserve">Primary protocol; primary evidence</w:t>
            </w:r>
          </w:p>
        </w:tc>
        <w:tc>
          <w:tcPr>
            <w:tcW w:w="1360" w:type="dxa"/>
            <w:tcMar>
              <w:top w:w="10" w:type="dxa"/>
              <w:left w:w="20" w:type="dxa"/>
              <w:bottom w:w="10" w:type="dxa"/>
              <w:right w:w="20" w:type="dxa"/>
            </w:tcMar>
            <w:vAlign w:val="center"/>
          </w:tcPr>
          <w:p>
            <w:r>
              <w:rPr>
                <w:sz w:val="16"/>
                <w:szCs w:val="16"/>
              </w:rPr>
              <w:t xml:space="preserve">Primary-protocol rules; post-hoc, not pre-specified</w:t>
            </w:r>
          </w:p>
        </w:tc>
        <w:tc>
          <w:tcPr>
            <w:tcW w:w="640" w:type="dxa"/>
            <w:tcMar>
              <w:top w:w="10" w:type="dxa"/>
              <w:left w:w="20" w:type="dxa"/>
              <w:bottom w:w="10" w:type="dxa"/>
              <w:right w:w="20" w:type="dxa"/>
            </w:tcMar>
            <w:vAlign w:val="center"/>
          </w:tcPr>
          <w:p>
            <w:r>
              <w:rPr>
                <w:sz w:val="16"/>
                <w:szCs w:val="16"/>
              </w:rPr>
              <w:t xml:space="preserve">Descriptive only</w:t>
            </w:r>
          </w:p>
        </w:tc>
      </w:tr>
    </w:tbl>
    <w:p w:rsidR="00332BC5" w:rsidRPr="00E61DEF" w:rsidRDefault="00EF6C3D" w:rsidP="00F076D7">
      <w:pPr>
        <w:pStyle w:val="figurecaption0"/>
        <w:keepNext/>
        <w:spacing w:before="80" w:after="40"/>
      </w:pPr>
      <w:r>
        <w:rPr>
          <w:color w:val="auto"/>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color w:val="auto"/>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0640A2">
        <w:trPr>
          <w:cantSplit/>
          <w:tblHeader/>
          <w:jc w:val="center"/>
        </w:trPr>
        <w:tc>
          <w:tcPr>
            <w:tcW w:w="1320" w:type="dxa"/>
            <w:tcMar>
              <w:top w:w="10" w:type="dxa"/>
              <w:left w:w="20" w:type="dxa"/>
              <w:bottom w:w="10" w:type="dxa"/>
              <w:right w:w="20" w:type="dxa"/>
            </w:tcMar>
            <w:vAlign w:val="center"/>
          </w:tcPr>
          <w:p>
            <w:r>
              <w:rPr>
                <w:sz w:val="16"/>
                <w:szCs w:val="16"/>
              </w:rPr>
              <w:t xml:space="preserve">Quantity</w:t>
            </w:r>
          </w:p>
        </w:tc>
        <w:tc>
          <w:tcPr>
            <w:tcW w:w="1000" w:type="dxa"/>
            <w:tcMar>
              <w:top w:w="10" w:type="dxa"/>
              <w:left w:w="20" w:type="dxa"/>
              <w:bottom w:w="10" w:type="dxa"/>
              <w:right w:w="20" w:type="dxa"/>
            </w:tcMar>
            <w:vAlign w:val="center"/>
          </w:tcPr>
          <w:p>
            <w:r>
              <w:rPr>
                <w:sz w:val="16"/>
                <w:szCs w:val="16"/>
              </w:rPr>
              <w:t xml:space="preserve">ASSISTments 2012</w:t>
            </w:r>
          </w:p>
        </w:tc>
        <w:tc>
          <w:tcPr>
            <w:tcW w:w="1360" w:type="dxa"/>
            <w:tcMar>
              <w:top w:w="10" w:type="dxa"/>
              <w:left w:w="20" w:type="dxa"/>
              <w:bottom w:w="10" w:type="dxa"/>
              <w:right w:w="20" w:type="dxa"/>
            </w:tcMar>
            <w:vAlign w:val="center"/>
          </w:tcPr>
          <w:p>
            <w:r>
              <w:rPr>
                <w:sz w:val="16"/>
                <w:szCs w:val="16"/>
              </w:rPr>
              <w:t xml:space="preserve">Junyi Academy</w:t>
            </w:r>
          </w:p>
        </w:tc>
        <w:tc>
          <w:tcPr>
            <w:tcW w:w="640" w:type="dxa"/>
            <w:tcMar>
              <w:top w:w="10" w:type="dxa"/>
              <w:left w:w="20" w:type="dxa"/>
              <w:bottom w:w="10" w:type="dxa"/>
              <w:right w:w="20" w:type="dxa"/>
            </w:tcMar>
            <w:vAlign w:val="center"/>
          </w:tcPr>
          <w:p>
            <w:r>
              <w:rPr>
                <w:sz w:val="16"/>
                <w:szCs w:val="16"/>
              </w:rPr>
              <w:t xml:space="preserve">XES3G5M</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Train-derived (fold 0)</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KCs present in training</w:t>
            </w:r>
          </w:p>
        </w:tc>
        <w:tc>
          <w:tcPr>
            <w:tcW w:w="1000" w:type="dxa"/>
            <w:tcMar>
              <w:top w:w="10" w:type="dxa"/>
              <w:left w:w="20" w:type="dxa"/>
              <w:bottom w:w="10" w:type="dxa"/>
              <w:right w:w="20" w:type="dxa"/>
            </w:tcMar>
            <w:vAlign w:val="center"/>
          </w:tcPr>
          <w:p>
            <w:r>
              <w:rPr>
                <w:sz w:val="16"/>
                <w:szCs w:val="16"/>
              </w:rPr>
              <w:t xml:space="preserve">265</w:t>
            </w:r>
          </w:p>
        </w:tc>
        <w:tc>
          <w:tcPr>
            <w:tcW w:w="1360" w:type="dxa"/>
            <w:tcMar>
              <w:top w:w="10" w:type="dxa"/>
              <w:left w:w="20" w:type="dxa"/>
              <w:bottom w:w="10" w:type="dxa"/>
              <w:right w:w="20" w:type="dxa"/>
            </w:tcMar>
            <w:vAlign w:val="center"/>
          </w:tcPr>
          <w:p>
            <w:r>
              <w:rPr>
                <w:sz w:val="16"/>
                <w:szCs w:val="16"/>
              </w:rPr>
              <w:t xml:space="preserve">1,326</w:t>
            </w:r>
          </w:p>
        </w:tc>
        <w:tc>
          <w:tcPr>
            <w:tcW w:w="640" w:type="dxa"/>
            <w:tcMar>
              <w:top w:w="10" w:type="dxa"/>
              <w:left w:w="20" w:type="dxa"/>
              <w:bottom w:w="10" w:type="dxa"/>
              <w:right w:w="20" w:type="dxa"/>
            </w:tcMar>
            <w:vAlign w:val="center"/>
          </w:tcPr>
          <w:p>
            <w:r>
              <w:rPr>
                <w:sz w:val="16"/>
                <w:szCs w:val="16"/>
              </w:rPr>
              <w:t xml:space="preserve">854</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KCs with ftrain &lt; 100 (E1)</w:t>
            </w:r>
          </w:p>
        </w:tc>
        <w:tc>
          <w:tcPr>
            <w:tcW w:w="1000" w:type="dxa"/>
            <w:tcMar>
              <w:top w:w="10" w:type="dxa"/>
              <w:left w:w="20" w:type="dxa"/>
              <w:bottom w:w="10" w:type="dxa"/>
              <w:right w:w="20" w:type="dxa"/>
            </w:tcMar>
            <w:vAlign w:val="center"/>
          </w:tcPr>
          <w:p>
            <w:r>
              <w:rPr>
                <w:sz w:val="16"/>
                <w:szCs w:val="16"/>
              </w:rPr>
              <w:t xml:space="preserve">18.9%</w:t>
            </w:r>
          </w:p>
        </w:tc>
        <w:tc>
          <w:tcPr>
            <w:tcW w:w="1360" w:type="dxa"/>
            <w:tcMar>
              <w:top w:w="10" w:type="dxa"/>
              <w:left w:w="20" w:type="dxa"/>
              <w:bottom w:w="10" w:type="dxa"/>
              <w:right w:w="20" w:type="dxa"/>
            </w:tcMar>
            <w:vAlign w:val="center"/>
          </w:tcPr>
          <w:p>
            <w:r>
              <w:rPr>
                <w:sz w:val="16"/>
                <w:szCs w:val="16"/>
              </w:rPr>
              <w:t xml:space="preserve">0.0%</w:t>
            </w:r>
          </w:p>
        </w:tc>
        <w:tc>
          <w:tcPr>
            <w:tcW w:w="640" w:type="dxa"/>
            <w:tcMar>
              <w:top w:w="10" w:type="dxa"/>
              <w:left w:w="20" w:type="dxa"/>
              <w:bottom w:w="10" w:type="dxa"/>
              <w:right w:w="20" w:type="dxa"/>
            </w:tcMar>
            <w:vAlign w:val="center"/>
          </w:tcPr>
          <w:p>
            <w:r>
              <w:rPr>
                <w:sz w:val="16"/>
                <w:szCs w:val="16"/>
              </w:rPr>
              <w:t xml:space="preserve">21.5%</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KCs very sparse / sparse / medium / dense</w:t>
            </w:r>
          </w:p>
        </w:tc>
        <w:tc>
          <w:tcPr>
            <w:tcW w:w="1000" w:type="dxa"/>
            <w:tcMar>
              <w:top w:w="10" w:type="dxa"/>
              <w:left w:w="20" w:type="dxa"/>
              <w:bottom w:w="10" w:type="dxa"/>
              <w:right w:w="20" w:type="dxa"/>
            </w:tcMar>
            <w:vAlign w:val="center"/>
          </w:tcPr>
          <w:p>
            <w:r>
              <w:rPr>
                <w:sz w:val="16"/>
                <w:szCs w:val="16"/>
              </w:rPr>
              <w:t xml:space="preserve">11 / 39 / 68 / 147</w:t>
            </w:r>
          </w:p>
        </w:tc>
        <w:tc>
          <w:tcPr>
            <w:tcW w:w="1360" w:type="dxa"/>
            <w:tcMar>
              <w:top w:w="10" w:type="dxa"/>
              <w:left w:w="20" w:type="dxa"/>
              <w:bottom w:w="10" w:type="dxa"/>
              <w:right w:w="20" w:type="dxa"/>
            </w:tcMar>
            <w:vAlign w:val="center"/>
          </w:tcPr>
          <w:p>
            <w:r>
              <w:rPr>
                <w:sz w:val="16"/>
                <w:szCs w:val="16"/>
              </w:rPr>
              <w:t xml:space="preserve">0 / 0 / 33 / 1,293</w:t>
            </w:r>
          </w:p>
        </w:tc>
        <w:tc>
          <w:tcPr>
            <w:tcW w:w="640" w:type="dxa"/>
            <w:tcMar>
              <w:top w:w="10" w:type="dxa"/>
              <w:left w:w="20" w:type="dxa"/>
              <w:bottom w:w="10" w:type="dxa"/>
              <w:right w:w="20" w:type="dxa"/>
            </w:tcMar>
            <w:vAlign w:val="center"/>
          </w:tcPr>
          <w:p>
            <w:r>
              <w:rPr>
                <w:sz w:val="16"/>
                <w:szCs w:val="16"/>
              </w:rPr>
              <w:t xml:space="preserve">62 / 122 / 172 / 498</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Strict cold-start KCs in fold-0 test</w:t>
            </w:r>
          </w:p>
        </w:tc>
        <w:tc>
          <w:tcPr>
            <w:tcW w:w="1000" w:type="dxa"/>
            <w:tcMar>
              <w:top w:w="10" w:type="dxa"/>
              <w:left w:w="20" w:type="dxa"/>
              <w:bottom w:w="10" w:type="dxa"/>
              <w:right w:w="20" w:type="dxa"/>
            </w:tcMar>
            <w:vAlign w:val="center"/>
          </w:tcPr>
          <w:p>
            <w:r>
              <w:rPr>
                <w:sz w:val="16"/>
                <w:szCs w:val="16"/>
              </w:rPr>
              <w:t xml:space="preserve">0</w:t>
            </w:r>
          </w:p>
        </w:tc>
        <w:tc>
          <w:tcPr>
            <w:tcW w:w="1360" w:type="dxa"/>
            <w:tcMar>
              <w:top w:w="10" w:type="dxa"/>
              <w:left w:w="20" w:type="dxa"/>
              <w:bottom w:w="10" w:type="dxa"/>
              <w:right w:w="20" w:type="dxa"/>
            </w:tcMar>
            <w:vAlign w:val="center"/>
          </w:tcPr>
          <w:p>
            <w:r>
              <w:rPr>
                <w:sz w:val="16"/>
                <w:szCs w:val="16"/>
              </w:rPr>
              <w:t xml:space="preserve">0</w:t>
            </w:r>
          </w:p>
        </w:tc>
        <w:tc>
          <w:tcPr>
            <w:tcW w:w="640" w:type="dxa"/>
            <w:tcMar>
              <w:top w:w="10" w:type="dxa"/>
              <w:left w:w="20" w:type="dxa"/>
              <w:bottom w:w="10" w:type="dxa"/>
              <w:right w:w="20" w:type="dxa"/>
            </w:tcMar>
            <w:vAlign w:val="center"/>
          </w:tcPr>
          <w:p>
            <w:r>
              <w:rPr>
                <w:sz w:val="16"/>
                <w:szCs w:val="16"/>
              </w:rPr>
              <w:t xml:space="preserve">3</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Median ftrain per KC</w:t>
            </w:r>
          </w:p>
        </w:tc>
        <w:tc>
          <w:tcPr>
            <w:tcW w:w="1000" w:type="dxa"/>
            <w:tcMar>
              <w:top w:w="10" w:type="dxa"/>
              <w:left w:w="20" w:type="dxa"/>
              <w:bottom w:w="10" w:type="dxa"/>
              <w:right w:w="20" w:type="dxa"/>
            </w:tcMar>
            <w:vAlign w:val="center"/>
          </w:tcPr>
          <w:p>
            <w:r>
              <w:rPr>
                <w:sz w:val="16"/>
                <w:szCs w:val="16"/>
              </w:rPr>
              <w:t xml:space="preserve">988</w:t>
            </w:r>
          </w:p>
        </w:tc>
        <w:tc>
          <w:tcPr>
            <w:tcW w:w="1360" w:type="dxa"/>
            <w:tcMar>
              <w:top w:w="10" w:type="dxa"/>
              <w:left w:w="20" w:type="dxa"/>
              <w:bottom w:w="10" w:type="dxa"/>
              <w:right w:w="20" w:type="dxa"/>
            </w:tcMar>
            <w:vAlign w:val="center"/>
          </w:tcPr>
          <w:p>
            <w:r>
              <w:rPr>
                <w:sz w:val="16"/>
                <w:szCs w:val="16"/>
              </w:rPr>
              <w:t xml:space="preserve">7,074</w:t>
            </w:r>
          </w:p>
        </w:tc>
        <w:tc>
          <w:tcPr>
            <w:tcW w:w="640" w:type="dxa"/>
            <w:tcMar>
              <w:top w:w="10" w:type="dxa"/>
              <w:left w:w="20" w:type="dxa"/>
              <w:bottom w:w="10" w:type="dxa"/>
              <w:right w:w="20" w:type="dxa"/>
            </w:tcMar>
            <w:vAlign w:val="center"/>
          </w:tcPr>
          <w:p>
            <w:r>
              <w:rPr>
                <w:sz w:val="16"/>
                <w:szCs w:val="16"/>
              </w:rPr>
              <w:t xml:space="preserve">1,002</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Test-derived (mean over four partitions)</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Sparse-group test rows (E2)</w:t>
            </w:r>
          </w:p>
        </w:tc>
        <w:tc>
          <w:tcPr>
            <w:tcW w:w="1000" w:type="dxa"/>
            <w:tcMar>
              <w:top w:w="10" w:type="dxa"/>
              <w:left w:w="20" w:type="dxa"/>
              <w:bottom w:w="10" w:type="dxa"/>
              <w:right w:w="20" w:type="dxa"/>
            </w:tcMar>
            <w:vAlign w:val="center"/>
          </w:tcPr>
          <w:p>
            <w:r>
              <w:rPr>
                <w:sz w:val="16"/>
                <w:szCs w:val="16"/>
              </w:rPr>
              <w:t xml:space="preserve">415 (L)</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1,969 (R)</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Very-sparse test rows</w:t>
            </w:r>
          </w:p>
        </w:tc>
        <w:tc>
          <w:tcPr>
            <w:tcW w:w="1000" w:type="dxa"/>
            <w:tcMar>
              <w:top w:w="10" w:type="dxa"/>
              <w:left w:w="20" w:type="dxa"/>
              <w:bottom w:w="10" w:type="dxa"/>
              <w:right w:w="20" w:type="dxa"/>
            </w:tcMar>
            <w:vAlign w:val="center"/>
          </w:tcPr>
          <w:p>
            <w:r>
              <w:rPr>
                <w:sz w:val="16"/>
                <w:szCs w:val="16"/>
              </w:rPr>
              <w:t xml:space="preserve">17 (I)</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114 (L)</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Strict cold-start test rows</w:t>
            </w:r>
          </w:p>
        </w:tc>
        <w:tc>
          <w:tcPr>
            <w:tcW w:w="1000" w:type="dxa"/>
            <w:tcMar>
              <w:top w:w="10" w:type="dxa"/>
              <w:left w:w="20" w:type="dxa"/>
              <w:bottom w:w="10" w:type="dxa"/>
              <w:right w:w="20" w:type="dxa"/>
            </w:tcMar>
            <w:vAlign w:val="center"/>
          </w:tcPr>
          <w:p>
            <w:r>
              <w:rPr>
                <w:sz w:val="16"/>
                <w:szCs w:val="16"/>
              </w:rPr>
              <w:t xml:space="preserve">1 (I; nonempty in 1 of 4)</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5 (I; nonempty in 4 of 4)</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Mean sparse N, primary protocol</w:t>
            </w:r>
          </w:p>
        </w:tc>
        <w:tc>
          <w:tcPr>
            <w:tcW w:w="1000" w:type="dxa"/>
            <w:tcMar>
              <w:top w:w="10" w:type="dxa"/>
              <w:left w:w="20" w:type="dxa"/>
              <w:bottom w:w="10" w:type="dxa"/>
              <w:right w:w="20" w:type="dxa"/>
            </w:tcMar>
            <w:vAlign w:val="center"/>
          </w:tcPr>
          <w:p>
            <w:r>
              <w:rPr>
                <w:sz w:val="16"/>
                <w:szCs w:val="16"/>
              </w:rPr>
              <w:t xml:space="preserve">398 (L)</w:t>
            </w:r>
          </w:p>
        </w:tc>
        <w:tc>
          <w:tcPr>
            <w:tcW w:w="1360" w:type="dxa"/>
            <w:tcMar>
              <w:top w:w="10" w:type="dxa"/>
              <w:left w:w="20" w:type="dxa"/>
              <w:bottom w:w="10" w:type="dxa"/>
              <w:right w:w="20" w:type="dxa"/>
            </w:tcMar>
            <w:vAlign w:val="center"/>
          </w:tcPr>
          <w:p>
            <w:r>
              <w:rPr>
                <w:sz w:val="16"/>
                <w:szCs w:val="16"/>
              </w:rPr>
              <w:t xml:space="preserve">No sparse group</w:t>
            </w:r>
          </w:p>
        </w:tc>
        <w:tc>
          <w:tcPr>
            <w:tcW w:w="640" w:type="dxa"/>
            <w:tcMar>
              <w:top w:w="10" w:type="dxa"/>
              <w:left w:w="20" w:type="dxa"/>
              <w:bottom w:w="10" w:type="dxa"/>
              <w:right w:w="20" w:type="dxa"/>
            </w:tcMar>
            <w:vAlign w:val="center"/>
          </w:tcPr>
          <w:p>
            <w:r>
              <w:rPr>
                <w:sz w:val="16"/>
                <w:szCs w:val="16"/>
              </w:rPr>
              <w:t xml:space="preserve">Not evaluated (descriptive only)</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Structural descriptors (fold-0 training)</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Frequency–difficulty ρ</w:t>
            </w:r>
          </w:p>
        </w:tc>
        <w:tc>
          <w:tcPr>
            <w:tcW w:w="1000" w:type="dxa"/>
            <w:tcMar>
              <w:top w:w="10" w:type="dxa"/>
              <w:left w:w="20" w:type="dxa"/>
              <w:bottom w:w="10" w:type="dxa"/>
              <w:right w:w="20" w:type="dxa"/>
            </w:tcMar>
            <w:vAlign w:val="center"/>
          </w:tcPr>
          <w:p>
            <w:r>
              <w:rPr>
                <w:sz w:val="16"/>
                <w:szCs w:val="16"/>
              </w:rPr>
              <w:t xml:space="preserve">−0.241</w:t>
            </w:r>
          </w:p>
        </w:tc>
        <w:tc>
          <w:tcPr>
            <w:tcW w:w="1360" w:type="dxa"/>
            <w:tcMar>
              <w:top w:w="10" w:type="dxa"/>
              <w:left w:w="20" w:type="dxa"/>
              <w:bottom w:w="10" w:type="dxa"/>
              <w:right w:w="20" w:type="dxa"/>
            </w:tcMar>
            <w:vAlign w:val="center"/>
          </w:tcPr>
          <w:p>
            <w:r>
              <w:rPr>
                <w:sz w:val="16"/>
                <w:szCs w:val="16"/>
              </w:rPr>
              <w:t xml:space="preserve">−0.416</w:t>
            </w:r>
          </w:p>
        </w:tc>
        <w:tc>
          <w:tcPr>
            <w:tcW w:w="640" w:type="dxa"/>
            <w:tcMar>
              <w:top w:w="10" w:type="dxa"/>
              <w:left w:w="20" w:type="dxa"/>
              <w:bottom w:w="10" w:type="dxa"/>
              <w:right w:w="20" w:type="dxa"/>
            </w:tcMar>
            <w:vAlign w:val="center"/>
          </w:tcPr>
          <w:p>
            <w:r>
              <w:rPr>
                <w:sz w:val="16"/>
                <w:szCs w:val="16"/>
              </w:rPr>
              <w:t xml:space="preserve">+0.110</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Median item support</w:t>
            </w:r>
          </w:p>
        </w:tc>
        <w:tc>
          <w:tcPr>
            <w:tcW w:w="1000" w:type="dxa"/>
            <w:tcMar>
              <w:top w:w="10" w:type="dxa"/>
              <w:left w:w="20" w:type="dxa"/>
              <w:bottom w:w="10" w:type="dxa"/>
              <w:right w:w="20" w:type="dxa"/>
            </w:tcMar>
            <w:vAlign w:val="center"/>
          </w:tcPr>
          <w:p>
            <w:r>
              <w:rPr>
                <w:sz w:val="16"/>
                <w:szCs w:val="16"/>
              </w:rPr>
              <w:t xml:space="preserve">32 (dense 198; sparse 1)</w:t>
            </w:r>
          </w:p>
        </w:tc>
        <w:tc>
          <w:tcPr>
            <w:tcW w:w="1360" w:type="dxa"/>
            <w:tcMar>
              <w:top w:w="10" w:type="dxa"/>
              <w:left w:w="20" w:type="dxa"/>
              <w:bottom w:w="10" w:type="dxa"/>
              <w:right w:w="20" w:type="dxa"/>
            </w:tcMar>
            <w:vAlign w:val="center"/>
          </w:tcPr>
          <w:p>
            <w:r>
              <w:rPr>
                <w:sz w:val="16"/>
                <w:szCs w:val="16"/>
              </w:rPr>
              <w:t xml:space="preserve">18 (dense 18; sparse –)</w:t>
            </w:r>
          </w:p>
        </w:tc>
        <w:tc>
          <w:tcPr>
            <w:tcW w:w="640" w:type="dxa"/>
            <w:tcMar>
              <w:top w:w="10" w:type="dxa"/>
              <w:left w:w="20" w:type="dxa"/>
              <w:bottom w:w="10" w:type="dxa"/>
              <w:right w:w="20" w:type="dxa"/>
            </w:tcMar>
            <w:vAlign w:val="center"/>
          </w:tcPr>
          <w:p>
            <w:r>
              <w:rPr>
                <w:sz w:val="16"/>
                <w:szCs w:val="16"/>
              </w:rPr>
              <w:t xml:space="preserve">3 (dense 9; sparse 1)</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Frequency–position ρ</w:t>
            </w:r>
          </w:p>
        </w:tc>
        <w:tc>
          <w:tcPr>
            <w:tcW w:w="1000" w:type="dxa"/>
            <w:tcMar>
              <w:top w:w="10" w:type="dxa"/>
              <w:left w:w="20" w:type="dxa"/>
              <w:bottom w:w="10" w:type="dxa"/>
              <w:right w:w="20" w:type="dxa"/>
            </w:tcMar>
            <w:vAlign w:val="center"/>
          </w:tcPr>
          <w:p>
            <w:r>
              <w:rPr>
                <w:sz w:val="16"/>
                <w:szCs w:val="16"/>
              </w:rPr>
              <w:t xml:space="preserve">−0.326</w:t>
            </w:r>
          </w:p>
        </w:tc>
        <w:tc>
          <w:tcPr>
            <w:tcW w:w="1360" w:type="dxa"/>
            <w:tcMar>
              <w:top w:w="10" w:type="dxa"/>
              <w:left w:w="20" w:type="dxa"/>
              <w:bottom w:w="10" w:type="dxa"/>
              <w:right w:w="20" w:type="dxa"/>
            </w:tcMar>
            <w:vAlign w:val="center"/>
          </w:tcPr>
          <w:p>
            <w:r>
              <w:rPr>
                <w:sz w:val="16"/>
                <w:szCs w:val="16"/>
              </w:rPr>
              <w:t xml:space="preserve">−0.324</w:t>
            </w:r>
          </w:p>
        </w:tc>
        <w:tc>
          <w:tcPr>
            <w:tcW w:w="640" w:type="dxa"/>
            <w:tcMar>
              <w:top w:w="10" w:type="dxa"/>
              <w:left w:w="20" w:type="dxa"/>
              <w:bottom w:w="10" w:type="dxa"/>
              <w:right w:w="20" w:type="dxa"/>
            </w:tcMar>
            <w:vAlign w:val="center"/>
          </w:tcPr>
          <w:p>
            <w:r>
              <w:rPr>
                <w:sz w:val="16"/>
                <w:szCs w:val="16"/>
              </w:rPr>
              <w:t xml:space="preserve">−0.126</w:t>
            </w:r>
          </w:p>
        </w:tc>
      </w:tr>
    </w:tbl>
    <w:p w:rsidR="00AE5052" w:rsidRDefault="005F15A8"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color w:val="auto"/>
        </w:rPr>
        <w:t xml:space="preserve">Fig. 3. ASSISTments 2012, primary protocol, fold 0: reliability diagrams for DKT (left) and T-KT masked (right), 15 equal-width bins, nonempty windows. Sparse group N = 430 (Limited); dense group N = 521,348 (Reliable).</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color w:val="auto"/>
        </w:rPr>
        <w:lastRenderedPageBreak/>
        <w:t xml:space="preserve">D. Sensitivity to checkpoint and test window</w:t>
      </w:r>
    </w:p>
    <w:p w:rsidR="00C62791" w:rsidRDefault="00AA3681" w:rsidP="00607E6B">
      <w:pPr>
        <w:pStyle w:val="Text"/>
        <w:spacing w:line="252" w:lineRule="exact"/>
      </w:pPr>
      <w:r>
        <w:rPr>
          <w:color w:val="auto"/>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rPr>
          <w:color w:val="000000"/>
        </w:rPr>
      </w:r>
      <w:r>
        <w:rPr/>
      </w:r>
      <w:r>
        <w:rPr>
          <w:color w:val="000000"/>
        </w:rPr>
      </w:r>
      <w:r>
        <w:rPr/>
      </w:r>
      <w:r>
        <w:rPr>
          <w:color w:val="000000"/>
        </w:rPr>
      </w:r>
      <w:r>
        <w:rPr/>
      </w:r>
      <w:r>
        <w:rPr>
          <w:color w:val="000000"/>
        </w:rPr>
      </w:r>
      <w:r>
        <w:rPr/>
      </w:r>
      <w:r>
        <w:rPr>
          <w:color w:val="000000"/>
        </w:rPr>
      </w:r>
      <w:r>
        <w:rP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color w:val="auto"/>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i/>
        </w:rPr>
      </w:r>
      <w:r>
        <w:rPr/>
      </w:r>
      <w:r>
        <w:rP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color w:val="auto"/>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color w:val="auto"/>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color w:val="auto"/>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color w:val="000000"/>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gridCol w:w="1012"/>
      </w:tblGrid>
      <w:tr w:rsidR="000640A2">
        <w:trPr>
          <w:cantSplit/>
          <w:tblHeader/>
          <w:jc w:val="center"/>
        </w:trPr>
        <w:tc>
          <w:tcPr>
            <w:tcW w:w="132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Dataset</w:t>
            </w:r>
          </w:p>
        </w:tc>
        <w:tc>
          <w:tcPr>
            <w:tcW w:w="100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Model</w:t>
            </w:r>
          </w:p>
        </w:tc>
        <w:tc>
          <w:tcPr>
            <w:tcW w:w="136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Group</w:t>
            </w:r>
          </w:p>
        </w:tc>
        <w:tc>
          <w:tcPr>
            <w:tcW w:w="64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N</w:t>
            </w:r>
          </w:p>
        </w:tc>
        <w:tc>
          <w:tcPr>
            <w:tcW w:w="108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AUC</w:t>
            </w:r>
          </w:p>
        </w:tc>
        <w:tc>
          <w:tcPr>
            <w:tcW w:w="108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ACC</w:t>
            </w:r>
          </w:p>
        </w:tc>
        <w:tc>
          <w:tcPr>
            <w:tcW w:w="110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Brier</w:t>
            </w:r>
          </w:p>
        </w:tc>
        <w:tc>
          <w:tcPr>
            <w:tcW w:w="108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UNC</w:t>
            </w:r>
          </w:p>
        </w:tc>
        <w:tc>
          <w:tcPr>
            <w:tcW w:w="1375" w:type="dxa"/>
            <w:tcMar>
              <w:top w:w="10" w:type="dxa"/>
              <w:left w:w="20" w:type="dxa"/>
              <w:bottom w:w="10" w:type="dxa"/>
              <w:right w:w="20" w:type="dxa"/>
            </w:tcMar>
            <w:vAlign w:val="center"/>
          </w:tcPr>
          <w:p w:rsidR="000640A2" w:rsidRDefault="00487777">
            <w:pPr>
              <w:jc w:val="center"/>
              <w:rPr>
                <w:b/>
                <w:sz w:val="16"/>
              </w:rPr>
            </w:pPr>
            <w:r>
              <w:rPr>
                <w:b/>
                <w:sz w:val="16"/>
                <w:szCs w:val="16"/>
              </w:rPr>
              <w:t xml:space="preserve">REL</w:t>
            </w:r>
          </w:p>
        </w:tc>
        <w:tc>
          <w:tcPr>
            <w:tcW w:w="1012" w:type="dxa"/>
            <w:tcMar>
              <w:top w:w="10" w:type="dxa"/>
              <w:left w:w="20" w:type="dxa"/>
              <w:bottom w:w="10" w:type="dxa"/>
              <w:right w:w="20" w:type="dxa"/>
            </w:tcMar>
            <w:vAlign w:val="center"/>
          </w:tcPr>
          <w:p w:rsidR="000640A2" w:rsidRDefault="00487777">
            <w:pPr>
              <w:jc w:val="center"/>
              <w:rPr>
                <w:b/>
                <w:sz w:val="16"/>
              </w:rPr>
            </w:pPr>
            <w:r>
              <w:rPr>
                <w:b/>
                <w:sz w:val="16"/>
                <w:szCs w:val="16"/>
              </w:rPr>
              <w:t xml:space="preserve">RES</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0.7670 ± 0.0188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0.7318 ± 0.0132</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0.1904 ± 0.0088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0.0137 ± 0.0026</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0.0589 ± 0.0090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0.8131 ± 0.0125</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0.7342 ± 0.0132</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0.1758 ± 0.0069</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0.0013 ± 0.0005</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0.0733 ± 0.0055</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0.7285 ± 0.0004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0.7354 ± 0.0010</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0.1797 ± 0.0004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0.0001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0.0301 ± 0.0001</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0.7476 ± 0.0344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0.7198 ± 0.0201</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0.2039 ± 0.0187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0.0215 ± 0.0076</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0.0530 ± 0.0125</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0.8042 ± 0.0114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0.7243 ± 0.0104</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0.1820 ± 0.0059</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0.0036 ± 0.0005</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0.0695 ± 0.0046</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0.7227 ± 0.0006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0.7315 ± 0.0007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0.1817 ± 0.0004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0.0004 ± 0.0001</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0.0284 ± 0.0001</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0.6101 ± 0.0556</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0.2453 ± 0.0218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0.0097 ± 0.0100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0.5363 ± 0.0198</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0.2742 ± 0.0078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0.0258 ± 0.0065</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0.6999 ± 0.0007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0.7850 ± 0.0362</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0.7363 ± 0.0180</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0.1798 ± 0.0112</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0.0128 ± 0.0032</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0.0682 ± 0.0152</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0.8262 ± 0.0106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0.7461 ± 0.0117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0.1700 ± 0.0060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0.0013 ± 0.0004</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0.0793 ± 0.0045</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0.7698 ± 0.0014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0.7534 ± 0.0015</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0.1686 ± 0.0006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0.0009 ± 0.0002</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0.0420 ± 0.0004</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0.6998 ± 0.0167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0.6564 ± 0.0147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0.2152 ± 0.0035</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0.0020 ± 0.0009</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0.0299 ± 0.0043</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0.7554 ± 0.0012</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0.7470 ± 0.0013</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0.1714 ± 0.0006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0.0360 ± 0.0004</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0.5822 ± 0.0082</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0.2578 ± 0.0033</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0.0146 ± 0.0020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0.7055 ± 0.0018</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0.2078 ± 0.0007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bl>
    <w:p w:rsidR="00332BC5" w:rsidRPr="00E61DEF" w:rsidRDefault="00EF6C3D" w:rsidP="00F076D7">
      <w:pPr>
        <w:pStyle w:val="figurecaption0"/>
        <w:keepNext/>
        <w:spacing w:before="80" w:after="40"/>
      </w:pPr>
      <w:r>
        <w:rPr/>
        <w:t>Table A2. ASSISTments DKT sensitivity grid. Each main cell is ΔECE = ECE sparse − ECE dense. best/200 is the primary protocol. ΔECE* in the extra column is the bias reference for that primary cell, not a confidence interval. Fold 2 and fold 3 share learners. No cell is missing. This table does not attribute the final/full versus best/200 gap to one factor.</w:t>
      </w:r>
      <w:r>
        <w:rPr>
          <w:color w:val="000000"/>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vertAlign w:val="subscript"/>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tblGrid>
      <w:tr w:rsidR="000640A2">
        <w:trPr>
          <w:cantSplit/>
          <w:tblHeader/>
          <w:jc w:val="center"/>
        </w:trPr>
        <w:tc>
          <w:tcPr>
            <w:tcW w:w="1320" w:type="dxa"/>
            <w:tcMar>
              <w:top w:w="10" w:type="dxa"/>
              <w:left w:w="20" w:type="dxa"/>
              <w:bottom w:w="10" w:type="dxa"/>
              <w:right w:w="20" w:type="dxa"/>
            </w:tcMar>
            <w:vAlign w:val="center"/>
          </w:tcPr>
          <w:p>
            <w:r>
              <w:rPr>
                <w:sz w:val="16"/>
                <w:szCs w:val="16"/>
              </w:rPr>
              <w:t xml:space="preserve">Fold</w:t>
            </w:r>
          </w:p>
        </w:tc>
        <w:tc>
          <w:tcPr>
            <w:tcW w:w="1000" w:type="dxa"/>
            <w:tcMar>
              <w:top w:w="10" w:type="dxa"/>
              <w:left w:w="20" w:type="dxa"/>
              <w:bottom w:w="10" w:type="dxa"/>
              <w:right w:w="20" w:type="dxa"/>
            </w:tcMar>
            <w:vAlign w:val="center"/>
          </w:tcPr>
          <w:p>
            <w:r>
              <w:rPr>
                <w:sz w:val="16"/>
                <w:szCs w:val="16"/>
              </w:rPr>
              <w:t xml:space="preserve">final/full</w:t>
            </w:r>
          </w:p>
        </w:tc>
        <w:tc>
          <w:tcPr>
            <w:tcW w:w="1360" w:type="dxa"/>
            <w:tcMar>
              <w:top w:w="10" w:type="dxa"/>
              <w:left w:w="20" w:type="dxa"/>
              <w:bottom w:w="10" w:type="dxa"/>
              <w:right w:w="20" w:type="dxa"/>
            </w:tcMar>
            <w:vAlign w:val="center"/>
          </w:tcPr>
          <w:p>
            <w:r>
              <w:rPr>
                <w:sz w:val="16"/>
                <w:szCs w:val="16"/>
              </w:rPr>
              <w:t xml:space="preserve">final/200</w:t>
            </w:r>
          </w:p>
        </w:tc>
        <w:tc>
          <w:tcPr>
            <w:tcW w:w="640" w:type="dxa"/>
            <w:tcMar>
              <w:top w:w="10" w:type="dxa"/>
              <w:left w:w="20" w:type="dxa"/>
              <w:bottom w:w="10" w:type="dxa"/>
              <w:right w:w="20" w:type="dxa"/>
            </w:tcMar>
            <w:vAlign w:val="center"/>
          </w:tcPr>
          <w:p>
            <w:r>
              <w:rPr>
                <w:sz w:val="16"/>
                <w:szCs w:val="16"/>
              </w:rPr>
              <w:t xml:space="preserve">best/full</w:t>
            </w:r>
          </w:p>
        </w:tc>
        <w:tc>
          <w:tcPr>
            <w:tcW w:w="1080" w:type="dxa"/>
            <w:tcMar>
              <w:top w:w="10" w:type="dxa"/>
              <w:left w:w="20" w:type="dxa"/>
              <w:bottom w:w="10" w:type="dxa"/>
              <w:right w:w="20" w:type="dxa"/>
            </w:tcMar>
            <w:vAlign w:val="center"/>
          </w:tcPr>
          <w:p>
            <w:r>
              <w:rPr>
                <w:sz w:val="16"/>
                <w:szCs w:val="16"/>
              </w:rPr>
              <w:t xml:space="preserve">best/200</w:t>
            </w:r>
          </w:p>
        </w:tc>
        <w:tc>
          <w:tcPr>
            <w:tcW w:w="1080" w:type="dxa"/>
            <w:tcMar>
              <w:top w:w="10" w:type="dxa"/>
              <w:left w:w="20" w:type="dxa"/>
              <w:bottom w:w="10" w:type="dxa"/>
              <w:right w:w="20" w:type="dxa"/>
            </w:tcMar>
            <w:vAlign w:val="center"/>
          </w:tcPr>
          <w:p>
            <w:r>
              <w:rPr>
                <w:sz w:val="16"/>
                <w:szCs w:val="16"/>
              </w:rPr>
              <w:t xml:space="preserve">ΔECE* best/200</w:t>
            </w:r>
          </w:p>
        </w:tc>
        <w:tc>
          <w:tcPr>
            <w:tcW w:w="1100" w:type="dxa"/>
            <w:tcMar>
              <w:top w:w="10" w:type="dxa"/>
              <w:left w:w="20" w:type="dxa"/>
              <w:bottom w:w="10" w:type="dxa"/>
              <w:right w:w="20" w:type="dxa"/>
            </w:tcMar>
            <w:vAlign w:val="center"/>
          </w:tcPr>
          <w:p>
            <w:r>
              <w:rPr>
                <w:sz w:val="16"/>
                <w:szCs w:val="16"/>
              </w:rPr>
              <w:t xml:space="preserve">N sparse best/200</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0</w:t>
            </w:r>
          </w:p>
        </w:tc>
        <w:tc>
          <w:tcPr>
            <w:tcW w:w="1000" w:type="dxa"/>
            <w:tcMar>
              <w:top w:w="10" w:type="dxa"/>
              <w:left w:w="20" w:type="dxa"/>
              <w:bottom w:w="10" w:type="dxa"/>
              <w:right w:w="20" w:type="dxa"/>
            </w:tcMar>
            <w:vAlign w:val="center"/>
          </w:tcPr>
          <w:p>
            <w:r>
              <w:rPr>
                <w:sz w:val="16"/>
                <w:szCs w:val="16"/>
              </w:rPr>
              <w:t xml:space="preserve">0.1689</w:t>
            </w:r>
          </w:p>
        </w:tc>
        <w:tc>
          <w:tcPr>
            <w:tcW w:w="1360" w:type="dxa"/>
            <w:tcMar>
              <w:top w:w="10" w:type="dxa"/>
              <w:left w:w="20" w:type="dxa"/>
              <w:bottom w:w="10" w:type="dxa"/>
              <w:right w:w="20" w:type="dxa"/>
            </w:tcMar>
            <w:vAlign w:val="center"/>
          </w:tcPr>
          <w:p>
            <w:r>
              <w:rPr>
                <w:sz w:val="16"/>
                <w:szCs w:val="16"/>
              </w:rPr>
              <w:t xml:space="preserve">0.1620</w:t>
            </w:r>
          </w:p>
        </w:tc>
        <w:tc>
          <w:tcPr>
            <w:tcW w:w="640" w:type="dxa"/>
            <w:tcMar>
              <w:top w:w="10" w:type="dxa"/>
              <w:left w:w="20" w:type="dxa"/>
              <w:bottom w:w="10" w:type="dxa"/>
              <w:right w:w="20" w:type="dxa"/>
            </w:tcMar>
            <w:vAlign w:val="center"/>
          </w:tcPr>
          <w:p>
            <w:r>
              <w:rPr>
                <w:sz w:val="16"/>
                <w:szCs w:val="16"/>
              </w:rPr>
              <w:t xml:space="preserve">0.0977</w:t>
            </w:r>
          </w:p>
        </w:tc>
        <w:tc>
          <w:tcPr>
            <w:tcW w:w="1080" w:type="dxa"/>
            <w:tcMar>
              <w:top w:w="10" w:type="dxa"/>
              <w:left w:w="20" w:type="dxa"/>
              <w:bottom w:w="10" w:type="dxa"/>
              <w:right w:w="20" w:type="dxa"/>
            </w:tcMar>
            <w:vAlign w:val="center"/>
          </w:tcPr>
          <w:p>
            <w:r>
              <w:rPr>
                <w:sz w:val="16"/>
                <w:szCs w:val="16"/>
              </w:rPr>
              <w:t xml:space="preserve">0.0846</w:t>
            </w:r>
          </w:p>
        </w:tc>
        <w:tc>
          <w:tcPr>
            <w:tcW w:w="1080" w:type="dxa"/>
            <w:tcMar>
              <w:top w:w="10" w:type="dxa"/>
              <w:left w:w="20" w:type="dxa"/>
              <w:bottom w:w="10" w:type="dxa"/>
              <w:right w:w="20" w:type="dxa"/>
            </w:tcMar>
            <w:vAlign w:val="center"/>
          </w:tcPr>
          <w:p>
            <w:r>
              <w:rPr>
                <w:sz w:val="16"/>
                <w:szCs w:val="16"/>
              </w:rPr>
              <w:t xml:space="preserve">-0.0088</w:t>
            </w:r>
          </w:p>
        </w:tc>
        <w:tc>
          <w:tcPr>
            <w:tcW w:w="1100" w:type="dxa"/>
            <w:tcMar>
              <w:top w:w="10" w:type="dxa"/>
              <w:left w:w="20" w:type="dxa"/>
              <w:bottom w:w="10" w:type="dxa"/>
              <w:right w:w="20" w:type="dxa"/>
            </w:tcMar>
            <w:vAlign w:val="center"/>
          </w:tcPr>
          <w:p>
            <w:r>
              <w:rPr>
                <w:sz w:val="16"/>
                <w:szCs w:val="16"/>
              </w:rPr>
              <w:t xml:space="preserve">430</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1</w:t>
            </w:r>
          </w:p>
        </w:tc>
        <w:tc>
          <w:tcPr>
            <w:tcW w:w="1000" w:type="dxa"/>
            <w:tcMar>
              <w:top w:w="10" w:type="dxa"/>
              <w:left w:w="20" w:type="dxa"/>
              <w:bottom w:w="10" w:type="dxa"/>
              <w:right w:w="20" w:type="dxa"/>
            </w:tcMar>
            <w:vAlign w:val="center"/>
          </w:tcPr>
          <w:p>
            <w:r>
              <w:rPr>
                <w:sz w:val="16"/>
                <w:szCs w:val="16"/>
              </w:rPr>
              <w:t xml:space="preserve">0.1746</w:t>
            </w:r>
          </w:p>
        </w:tc>
        <w:tc>
          <w:tcPr>
            <w:tcW w:w="1360" w:type="dxa"/>
            <w:tcMar>
              <w:top w:w="10" w:type="dxa"/>
              <w:left w:w="20" w:type="dxa"/>
              <w:bottom w:w="10" w:type="dxa"/>
              <w:right w:w="20" w:type="dxa"/>
            </w:tcMar>
            <w:vAlign w:val="center"/>
          </w:tcPr>
          <w:p>
            <w:r>
              <w:rPr>
                <w:sz w:val="16"/>
                <w:szCs w:val="16"/>
              </w:rPr>
              <w:t xml:space="preserve">0.1732</w:t>
            </w:r>
          </w:p>
        </w:tc>
        <w:tc>
          <w:tcPr>
            <w:tcW w:w="640" w:type="dxa"/>
            <w:tcMar>
              <w:top w:w="10" w:type="dxa"/>
              <w:left w:w="20" w:type="dxa"/>
              <w:bottom w:w="10" w:type="dxa"/>
              <w:right w:w="20" w:type="dxa"/>
            </w:tcMar>
            <w:vAlign w:val="center"/>
          </w:tcPr>
          <w:p>
            <w:r>
              <w:rPr>
                <w:sz w:val="16"/>
                <w:szCs w:val="16"/>
              </w:rPr>
              <w:t xml:space="preserve">0.1017</w:t>
            </w:r>
          </w:p>
        </w:tc>
        <w:tc>
          <w:tcPr>
            <w:tcW w:w="1080" w:type="dxa"/>
            <w:tcMar>
              <w:top w:w="10" w:type="dxa"/>
              <w:left w:w="20" w:type="dxa"/>
              <w:bottom w:w="10" w:type="dxa"/>
              <w:right w:w="20" w:type="dxa"/>
            </w:tcMar>
            <w:vAlign w:val="center"/>
          </w:tcPr>
          <w:p>
            <w:r>
              <w:rPr>
                <w:sz w:val="16"/>
                <w:szCs w:val="16"/>
              </w:rPr>
              <w:t xml:space="preserve">0.1016</w:t>
            </w:r>
          </w:p>
        </w:tc>
        <w:tc>
          <w:tcPr>
            <w:tcW w:w="1080" w:type="dxa"/>
            <w:tcMar>
              <w:top w:w="10" w:type="dxa"/>
              <w:left w:w="20" w:type="dxa"/>
              <w:bottom w:w="10" w:type="dxa"/>
              <w:right w:w="20" w:type="dxa"/>
            </w:tcMar>
            <w:vAlign w:val="center"/>
          </w:tcPr>
          <w:p>
            <w:r>
              <w:rPr>
                <w:sz w:val="16"/>
                <w:szCs w:val="16"/>
              </w:rPr>
              <w:t xml:space="preserve">0.0074</w:t>
            </w:r>
          </w:p>
        </w:tc>
        <w:tc>
          <w:tcPr>
            <w:tcW w:w="1100" w:type="dxa"/>
            <w:tcMar>
              <w:top w:w="10" w:type="dxa"/>
              <w:left w:w="20" w:type="dxa"/>
              <w:bottom w:w="10" w:type="dxa"/>
              <w:right w:w="20" w:type="dxa"/>
            </w:tcMar>
            <w:vAlign w:val="center"/>
          </w:tcPr>
          <w:p>
            <w:r>
              <w:rPr>
                <w:sz w:val="16"/>
                <w:szCs w:val="16"/>
              </w:rPr>
              <w:t xml:space="preserve">423</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2</w:t>
            </w:r>
          </w:p>
        </w:tc>
        <w:tc>
          <w:tcPr>
            <w:tcW w:w="1000" w:type="dxa"/>
            <w:tcMar>
              <w:top w:w="10" w:type="dxa"/>
              <w:left w:w="20" w:type="dxa"/>
              <w:bottom w:w="10" w:type="dxa"/>
              <w:right w:w="20" w:type="dxa"/>
            </w:tcMar>
            <w:vAlign w:val="center"/>
          </w:tcPr>
          <w:p>
            <w:r>
              <w:rPr>
                <w:sz w:val="16"/>
                <w:szCs w:val="16"/>
              </w:rPr>
              <w:t xml:space="preserve">0.1086</w:t>
            </w:r>
          </w:p>
        </w:tc>
        <w:tc>
          <w:tcPr>
            <w:tcW w:w="1360" w:type="dxa"/>
            <w:tcMar>
              <w:top w:w="10" w:type="dxa"/>
              <w:left w:w="20" w:type="dxa"/>
              <w:bottom w:w="10" w:type="dxa"/>
              <w:right w:w="20" w:type="dxa"/>
            </w:tcMar>
            <w:vAlign w:val="center"/>
          </w:tcPr>
          <w:p>
            <w:r>
              <w:rPr>
                <w:sz w:val="16"/>
                <w:szCs w:val="16"/>
              </w:rPr>
              <w:t xml:space="preserve">0.1084</w:t>
            </w:r>
          </w:p>
        </w:tc>
        <w:tc>
          <w:tcPr>
            <w:tcW w:w="640" w:type="dxa"/>
            <w:tcMar>
              <w:top w:w="10" w:type="dxa"/>
              <w:left w:w="20" w:type="dxa"/>
              <w:bottom w:w="10" w:type="dxa"/>
              <w:right w:w="20" w:type="dxa"/>
            </w:tcMar>
            <w:vAlign w:val="center"/>
          </w:tcPr>
          <w:p>
            <w:r>
              <w:rPr>
                <w:sz w:val="16"/>
                <w:szCs w:val="16"/>
              </w:rPr>
              <w:t xml:space="preserve">0.0905</w:t>
            </w:r>
          </w:p>
        </w:tc>
        <w:tc>
          <w:tcPr>
            <w:tcW w:w="1080" w:type="dxa"/>
            <w:tcMar>
              <w:top w:w="10" w:type="dxa"/>
              <w:left w:w="20" w:type="dxa"/>
              <w:bottom w:w="10" w:type="dxa"/>
              <w:right w:w="20" w:type="dxa"/>
            </w:tcMar>
            <w:vAlign w:val="center"/>
          </w:tcPr>
          <w:p>
            <w:r>
              <w:rPr>
                <w:sz w:val="16"/>
                <w:szCs w:val="16"/>
              </w:rPr>
              <w:t xml:space="preserve">0.0867</w:t>
            </w:r>
          </w:p>
        </w:tc>
        <w:tc>
          <w:tcPr>
            <w:tcW w:w="1080" w:type="dxa"/>
            <w:tcMar>
              <w:top w:w="10" w:type="dxa"/>
              <w:left w:w="20" w:type="dxa"/>
              <w:bottom w:w="10" w:type="dxa"/>
              <w:right w:w="20" w:type="dxa"/>
            </w:tcMar>
            <w:vAlign w:val="center"/>
          </w:tcPr>
          <w:p>
            <w:r>
              <w:rPr>
                <w:sz w:val="16"/>
                <w:szCs w:val="16"/>
              </w:rPr>
              <w:t xml:space="preserve">-0.0118</w:t>
            </w:r>
          </w:p>
        </w:tc>
        <w:tc>
          <w:tcPr>
            <w:tcW w:w="1100" w:type="dxa"/>
            <w:tcMar>
              <w:top w:w="10" w:type="dxa"/>
              <w:left w:w="20" w:type="dxa"/>
              <w:bottom w:w="10" w:type="dxa"/>
              <w:right w:w="20" w:type="dxa"/>
            </w:tcMar>
            <w:vAlign w:val="center"/>
          </w:tcPr>
          <w:p>
            <w:r>
              <w:rPr>
                <w:sz w:val="16"/>
                <w:szCs w:val="16"/>
              </w:rPr>
              <w:t xml:space="preserve">386</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3</w:t>
            </w:r>
          </w:p>
        </w:tc>
        <w:tc>
          <w:tcPr>
            <w:tcW w:w="1000" w:type="dxa"/>
            <w:tcMar>
              <w:top w:w="10" w:type="dxa"/>
              <w:left w:w="20" w:type="dxa"/>
              <w:bottom w:w="10" w:type="dxa"/>
              <w:right w:w="20" w:type="dxa"/>
            </w:tcMar>
            <w:vAlign w:val="center"/>
          </w:tcPr>
          <w:p>
            <w:r>
              <w:rPr>
                <w:sz w:val="16"/>
                <w:szCs w:val="16"/>
              </w:rPr>
              <w:t xml:space="preserve">0.1354</w:t>
            </w:r>
          </w:p>
        </w:tc>
        <w:tc>
          <w:tcPr>
            <w:tcW w:w="1360" w:type="dxa"/>
            <w:tcMar>
              <w:top w:w="10" w:type="dxa"/>
              <w:left w:w="20" w:type="dxa"/>
              <w:bottom w:w="10" w:type="dxa"/>
              <w:right w:w="20" w:type="dxa"/>
            </w:tcMar>
            <w:vAlign w:val="center"/>
          </w:tcPr>
          <w:p>
            <w:r>
              <w:rPr>
                <w:sz w:val="16"/>
                <w:szCs w:val="16"/>
              </w:rPr>
              <w:t xml:space="preserve">0.1316</w:t>
            </w:r>
          </w:p>
        </w:tc>
        <w:tc>
          <w:tcPr>
            <w:tcW w:w="640" w:type="dxa"/>
            <w:tcMar>
              <w:top w:w="10" w:type="dxa"/>
              <w:left w:w="20" w:type="dxa"/>
              <w:bottom w:w="10" w:type="dxa"/>
              <w:right w:w="20" w:type="dxa"/>
            </w:tcMar>
            <w:vAlign w:val="center"/>
          </w:tcPr>
          <w:p>
            <w:r>
              <w:rPr>
                <w:sz w:val="16"/>
                <w:szCs w:val="16"/>
              </w:rPr>
              <w:t xml:space="preserve">0.0867</w:t>
            </w:r>
          </w:p>
        </w:tc>
        <w:tc>
          <w:tcPr>
            <w:tcW w:w="1080" w:type="dxa"/>
            <w:tcMar>
              <w:top w:w="10" w:type="dxa"/>
              <w:left w:w="20" w:type="dxa"/>
              <w:bottom w:w="10" w:type="dxa"/>
              <w:right w:w="20" w:type="dxa"/>
            </w:tcMar>
            <w:vAlign w:val="center"/>
          </w:tcPr>
          <w:p>
            <w:r>
              <w:rPr>
                <w:sz w:val="16"/>
                <w:szCs w:val="16"/>
              </w:rPr>
              <w:t xml:space="preserve">0.0935</w:t>
            </w:r>
          </w:p>
        </w:tc>
        <w:tc>
          <w:tcPr>
            <w:tcW w:w="1080" w:type="dxa"/>
            <w:tcMar>
              <w:top w:w="10" w:type="dxa"/>
              <w:left w:w="20" w:type="dxa"/>
              <w:bottom w:w="10" w:type="dxa"/>
              <w:right w:w="20" w:type="dxa"/>
            </w:tcMar>
            <w:vAlign w:val="center"/>
          </w:tcPr>
          <w:p>
            <w:r>
              <w:rPr>
                <w:sz w:val="16"/>
                <w:szCs w:val="16"/>
              </w:rPr>
              <w:t xml:space="preserve">-0.0050</w:t>
            </w:r>
          </w:p>
        </w:tc>
        <w:tc>
          <w:tcPr>
            <w:tcW w:w="1100" w:type="dxa"/>
            <w:tcMar>
              <w:top w:w="10" w:type="dxa"/>
              <w:left w:w="20" w:type="dxa"/>
              <w:bottom w:w="10" w:type="dxa"/>
              <w:right w:w="20" w:type="dxa"/>
            </w:tcMar>
            <w:vAlign w:val="center"/>
          </w:tcPr>
          <w:p>
            <w:r>
              <w:rPr>
                <w:sz w:val="16"/>
                <w:szCs w:val="16"/>
              </w:rPr>
              <w:t xml:space="preserve">386</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4</w:t>
            </w:r>
          </w:p>
        </w:tc>
        <w:tc>
          <w:tcPr>
            <w:tcW w:w="1000" w:type="dxa"/>
            <w:tcMar>
              <w:top w:w="10" w:type="dxa"/>
              <w:left w:w="20" w:type="dxa"/>
              <w:bottom w:w="10" w:type="dxa"/>
              <w:right w:w="20" w:type="dxa"/>
            </w:tcMar>
            <w:vAlign w:val="center"/>
          </w:tcPr>
          <w:p>
            <w:r>
              <w:rPr>
                <w:sz w:val="16"/>
                <w:szCs w:val="16"/>
              </w:rPr>
              <w:t xml:space="preserve">0.1319</w:t>
            </w:r>
          </w:p>
        </w:tc>
        <w:tc>
          <w:tcPr>
            <w:tcW w:w="1360" w:type="dxa"/>
            <w:tcMar>
              <w:top w:w="10" w:type="dxa"/>
              <w:left w:w="20" w:type="dxa"/>
              <w:bottom w:w="10" w:type="dxa"/>
              <w:right w:w="20" w:type="dxa"/>
            </w:tcMar>
            <w:vAlign w:val="center"/>
          </w:tcPr>
          <w:p>
            <w:r>
              <w:rPr>
                <w:sz w:val="16"/>
                <w:szCs w:val="16"/>
              </w:rPr>
              <w:t xml:space="preserve">0.1335</w:t>
            </w:r>
          </w:p>
        </w:tc>
        <w:tc>
          <w:tcPr>
            <w:tcW w:w="640" w:type="dxa"/>
            <w:tcMar>
              <w:top w:w="10" w:type="dxa"/>
              <w:left w:w="20" w:type="dxa"/>
              <w:bottom w:w="10" w:type="dxa"/>
              <w:right w:w="20" w:type="dxa"/>
            </w:tcMar>
            <w:vAlign w:val="center"/>
          </w:tcPr>
          <w:p>
            <w:r>
              <w:rPr>
                <w:sz w:val="16"/>
                <w:szCs w:val="16"/>
              </w:rPr>
              <w:t xml:space="preserve">0.0822</w:t>
            </w:r>
          </w:p>
        </w:tc>
        <w:tc>
          <w:tcPr>
            <w:tcW w:w="1080" w:type="dxa"/>
            <w:tcMar>
              <w:top w:w="10" w:type="dxa"/>
              <w:left w:w="20" w:type="dxa"/>
              <w:bottom w:w="10" w:type="dxa"/>
              <w:right w:w="20" w:type="dxa"/>
            </w:tcMar>
            <w:vAlign w:val="center"/>
          </w:tcPr>
          <w:p>
            <w:r>
              <w:rPr>
                <w:sz w:val="16"/>
                <w:szCs w:val="16"/>
              </w:rPr>
              <w:t xml:space="preserve">0.0808</w:t>
            </w:r>
          </w:p>
        </w:tc>
        <w:tc>
          <w:tcPr>
            <w:tcW w:w="1080" w:type="dxa"/>
            <w:tcMar>
              <w:top w:w="10" w:type="dxa"/>
              <w:left w:w="20" w:type="dxa"/>
              <w:bottom w:w="10" w:type="dxa"/>
              <w:right w:w="20" w:type="dxa"/>
            </w:tcMar>
            <w:vAlign w:val="center"/>
          </w:tcPr>
          <w:p>
            <w:r>
              <w:rPr>
                <w:sz w:val="16"/>
                <w:szCs w:val="16"/>
              </w:rPr>
              <w:t xml:space="preserve">-0.0224</w:t>
            </w:r>
          </w:p>
        </w:tc>
        <w:tc>
          <w:tcPr>
            <w:tcW w:w="1100" w:type="dxa"/>
            <w:tcMar>
              <w:top w:w="10" w:type="dxa"/>
              <w:left w:w="20" w:type="dxa"/>
              <w:bottom w:w="10" w:type="dxa"/>
              <w:right w:w="20" w:type="dxa"/>
            </w:tcMar>
            <w:vAlign w:val="center"/>
          </w:tcPr>
          <w:p>
            <w:r>
              <w:rPr>
                <w:sz w:val="16"/>
                <w:szCs w:val="16"/>
              </w:rPr>
              <w:t xml:space="preserve">352</w:t>
            </w:r>
          </w:p>
        </w:tc>
      </w:tr>
    </w:tbl>
    <w:p w:rsidR="00332BC5" w:rsidRPr="00E61DEF" w:rsidRDefault="00EF6C3D" w:rsidP="00F076D7">
      <w:pPr>
        <w:pStyle w:val="figurecaption0"/>
        <w:keepNext/>
        <w:spacing w:before="80" w:after="40"/>
      </w:pPr>
      <w:r>
        <w:rPr>
          <w:color w:val="auto"/>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0640A2">
        <w:trPr>
          <w:cantSplit/>
          <w:tblHeader/>
          <w:jc w:val="center"/>
        </w:trPr>
        <w:tc>
          <w:tcPr>
            <w:tcW w:w="1320" w:type="dxa"/>
            <w:tcMar>
              <w:top w:w="10" w:type="dxa"/>
              <w:left w:w="20" w:type="dxa"/>
              <w:bottom w:w="10" w:type="dxa"/>
              <w:right w:w="20" w:type="dxa"/>
            </w:tcMar>
            <w:vAlign w:val="center"/>
          </w:tcPr>
          <w:p w:rsidR="000640A2" w:rsidRDefault="00487777">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0640A2" w:rsidRDefault="00487777">
            <w:pPr>
              <w:keepNext/>
              <w:jc w:val="center"/>
              <w:rPr>
                <w:b/>
                <w:sz w:val="16"/>
              </w:rPr>
            </w:pPr>
            <w:r>
              <w:rPr>
                <w:b/>
                <w:sz w:val="16"/>
                <w:szCs w:val="16"/>
              </w:rPr>
              <w:t>Group</w:t>
            </w:r>
          </w:p>
        </w:tc>
        <w:tc>
          <w:tcPr>
            <w:tcW w:w="1360" w:type="dxa"/>
            <w:tcMar>
              <w:top w:w="10" w:type="dxa"/>
              <w:left w:w="20" w:type="dxa"/>
              <w:bottom w:w="10" w:type="dxa"/>
              <w:right w:w="20" w:type="dxa"/>
            </w:tcMar>
            <w:vAlign w:val="center"/>
          </w:tcPr>
          <w:p w:rsidR="000640A2" w:rsidRDefault="00487777">
            <w:pPr>
              <w:keepNext/>
              <w:jc w:val="center"/>
              <w:rPr>
                <w:b/>
                <w:sz w:val="16"/>
              </w:rPr>
            </w:pPr>
            <w:r>
              <w:rPr>
                <w:b/>
                <w:sz w:val="16"/>
                <w:szCs w:val="16"/>
              </w:rPr>
              <w:t>N</w:t>
            </w:r>
          </w:p>
        </w:tc>
        <w:tc>
          <w:tcPr>
            <w:tcW w:w="640" w:type="dxa"/>
            <w:tcMar>
              <w:top w:w="10" w:type="dxa"/>
              <w:left w:w="20" w:type="dxa"/>
              <w:bottom w:w="10" w:type="dxa"/>
              <w:right w:w="20" w:type="dxa"/>
            </w:tcMar>
            <w:vAlign w:val="center"/>
          </w:tcPr>
          <w:p w:rsidR="000640A2" w:rsidRDefault="00487777">
            <w:pPr>
              <w:keepNext/>
              <w:jc w:val="center"/>
              <w:rPr>
                <w:b/>
                <w:sz w:val="16"/>
              </w:rPr>
            </w:pPr>
            <w:r>
              <w:rPr>
                <w:b/>
                <w:sz w:val="16"/>
                <w:szCs w:val="16"/>
              </w:rPr>
              <w:t>N</w:t>
            </w:r>
            <w:r>
              <w:rPr>
                <w:b/>
                <w:sz w:val="16"/>
                <w:vertAlign w:val="subscript"/>
                <w:szCs w:val="16"/>
              </w:rPr>
              <w:t>adv</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N</w:t>
            </w:r>
            <w:r>
              <w:rPr>
                <w:b/>
                <w:sz w:val="16"/>
                <w:vertAlign w:val="subscript"/>
                <w:szCs w:val="16"/>
              </w:rPr>
              <w:t>inc</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FAR [95% CI]</w:t>
            </w:r>
          </w:p>
        </w:tc>
        <w:tc>
          <w:tcPr>
            <w:tcW w:w="1100" w:type="dxa"/>
            <w:tcMar>
              <w:top w:w="10" w:type="dxa"/>
              <w:left w:w="20" w:type="dxa"/>
              <w:bottom w:w="10" w:type="dxa"/>
              <w:right w:w="20" w:type="dxa"/>
            </w:tcMar>
            <w:vAlign w:val="center"/>
          </w:tcPr>
          <w:p w:rsidR="000640A2" w:rsidRDefault="00487777">
            <w:pPr>
              <w:keepNext/>
              <w:jc w:val="center"/>
              <w:rPr>
                <w:b/>
                <w:sz w:val="16"/>
              </w:rPr>
            </w:pPr>
            <w:r>
              <w:rPr>
                <w:b/>
                <w:sz w:val="16"/>
                <w:szCs w:val="16"/>
              </w:rPr>
              <w:t>E[FAR]</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Excess</w:t>
            </w:r>
          </w:p>
        </w:tc>
        <w:tc>
          <w:tcPr>
            <w:tcW w:w="1375" w:type="dxa"/>
            <w:tcMar>
              <w:top w:w="10" w:type="dxa"/>
              <w:left w:w="20" w:type="dxa"/>
              <w:bottom w:w="10" w:type="dxa"/>
              <w:right w:w="20" w:type="dxa"/>
            </w:tcMar>
            <w:vAlign w:val="center"/>
          </w:tcPr>
          <w:p w:rsidR="000640A2" w:rsidRDefault="00487777">
            <w:pPr>
              <w:keepNext/>
              <w:jc w:val="center"/>
              <w:rPr>
                <w:b/>
                <w:sz w:val="16"/>
              </w:rPr>
            </w:pPr>
            <w:r>
              <w:rPr>
                <w:b/>
                <w:sz w:val="16"/>
                <w:szCs w:val="16"/>
              </w:rPr>
              <w:t>FPR</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sparse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200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195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0.215 [0.138–0.304]</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0.142</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0.073</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0.221</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dense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521,348</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300,610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156,258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0.179 [0.170–0.187]</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0.178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0.001</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0.344</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sparse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198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195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0.232 [0.163–0.320]</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0.119</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0.113</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0.236</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dense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521,348</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298,201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156,258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0.182 [0.173–0.191]</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0.176</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0.006</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0.347</w:t>
            </w:r>
          </w:p>
        </w:tc>
      </w:tr>
    </w:tbl>
    <w:p w:rsidR="00332BC5" w:rsidRPr="00E61DEF" w:rsidRDefault="00EF6C3D" w:rsidP="00F076D7">
      <w:pPr>
        <w:pStyle w:val="figurecaption0"/>
        <w:keepNext/>
        <w:spacing w:before="80" w:after="40"/>
      </w:pPr>
      <w:r>
        <w:rPr>
          <w:color w:val="auto"/>
        </w:rPr>
        <w:t xml:space="preserve">Table A4. ΔFAR at τ = 0.7 across four unique partitions under the primary protocol (ASSISTments 2012; fold 2 and fold 3 averaged first; the SD is descriptive). N, Nadv, and Ninc are sparse-group mean counts, rounded.</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tblGrid>
      <w:tr w:rsidR="000640A2">
        <w:trPr>
          <w:cantSplit/>
          <w:tblHeader/>
          <w:jc w:val="center"/>
        </w:trPr>
        <w:tc>
          <w:tcPr>
            <w:tcW w:w="1320" w:type="dxa"/>
            <w:tcMar>
              <w:top w:w="10" w:type="dxa"/>
              <w:left w:w="20" w:type="dxa"/>
              <w:bottom w:w="10" w:type="dxa"/>
              <w:right w:w="20" w:type="dxa"/>
            </w:tcMar>
            <w:vAlign w:val="center"/>
          </w:tcPr>
          <w:p w:rsidR="000640A2" w:rsidRDefault="00487777">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0640A2" w:rsidRDefault="00487777">
            <w:pPr>
              <w:keepNext/>
              <w:jc w:val="center"/>
              <w:rPr>
                <w:b/>
                <w:sz w:val="16"/>
              </w:rPr>
            </w:pPr>
            <w:r>
              <w:rPr>
                <w:b/>
                <w:sz w:val="16"/>
                <w:szCs w:val="16"/>
              </w:rPr>
              <w:t>Mean ΔFAR</w:t>
            </w:r>
          </w:p>
        </w:tc>
        <w:tc>
          <w:tcPr>
            <w:tcW w:w="1360" w:type="dxa"/>
            <w:tcMar>
              <w:top w:w="10" w:type="dxa"/>
              <w:left w:w="20" w:type="dxa"/>
              <w:bottom w:w="10" w:type="dxa"/>
              <w:right w:w="20" w:type="dxa"/>
            </w:tcMar>
            <w:vAlign w:val="center"/>
          </w:tcPr>
          <w:p w:rsidR="000640A2" w:rsidRDefault="00487777">
            <w:pPr>
              <w:keepNext/>
              <w:jc w:val="center"/>
              <w:rPr>
                <w:b/>
                <w:sz w:val="16"/>
              </w:rPr>
            </w:pPr>
            <w:r>
              <w:rPr>
                <w:b/>
                <w:sz w:val="16"/>
                <w:szCs w:val="16"/>
              </w:rPr>
              <w:t>SD</w:t>
            </w:r>
          </w:p>
        </w:tc>
        <w:tc>
          <w:tcPr>
            <w:tcW w:w="640" w:type="dxa"/>
            <w:tcMar>
              <w:top w:w="10" w:type="dxa"/>
              <w:left w:w="20" w:type="dxa"/>
              <w:bottom w:w="10" w:type="dxa"/>
              <w:right w:w="20" w:type="dxa"/>
            </w:tcMar>
            <w:vAlign w:val="center"/>
          </w:tcPr>
          <w:p w:rsidR="000640A2" w:rsidRDefault="00487777">
            <w:pPr>
              <w:keepNext/>
              <w:jc w:val="center"/>
              <w:rPr>
                <w:b/>
                <w:sz w:val="16"/>
              </w:rPr>
            </w:pPr>
            <w:r>
              <w:rPr>
                <w:b/>
                <w:sz w:val="16"/>
                <w:szCs w:val="16"/>
              </w:rPr>
              <w:t>Range</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Partitions with ΔFAR &gt; 0</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Mean N</w:t>
            </w:r>
          </w:p>
        </w:tc>
        <w:tc>
          <w:tcPr>
            <w:tcW w:w="1100" w:type="dxa"/>
            <w:tcMar>
              <w:top w:w="10" w:type="dxa"/>
              <w:left w:w="20" w:type="dxa"/>
              <w:bottom w:w="10" w:type="dxa"/>
              <w:right w:w="20" w:type="dxa"/>
            </w:tcMar>
            <w:vAlign w:val="center"/>
          </w:tcPr>
          <w:p w:rsidR="000640A2" w:rsidRDefault="00487777">
            <w:pPr>
              <w:keepNext/>
              <w:jc w:val="center"/>
              <w:rPr>
                <w:b/>
                <w:sz w:val="16"/>
              </w:rPr>
            </w:pPr>
            <w:r>
              <w:rPr>
                <w:b/>
                <w:sz w:val="16"/>
                <w:szCs w:val="16"/>
              </w:rPr>
              <w:t>Mean N</w:t>
            </w:r>
            <w:r>
              <w:rPr>
                <w:b/>
                <w:sz w:val="16"/>
                <w:vertAlign w:val="subscript"/>
                <w:szCs w:val="16"/>
              </w:rPr>
              <w:t>adv</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Mean N</w:t>
            </w:r>
            <w:r>
              <w:rPr>
                <w:b/>
                <w:sz w:val="16"/>
                <w:vertAlign w:val="subscript"/>
                <w:szCs w:val="16"/>
              </w:rPr>
              <w:t>inc</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0.021</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0.019</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−0.001 to 0.038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191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157</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0.036</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0.038</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−0.007 to 0.081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192</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157</w:t>
            </w:r>
          </w:p>
        </w:tc>
      </w:tr>
    </w:tbl>
    <w:p w:rsidR="00332BC5" w:rsidRPr="00E61DEF" w:rsidRDefault="00EF6C3D" w:rsidP="00F076D7">
      <w:pPr>
        <w:pStyle w:val="figurecaption0"/>
        <w:keepNext/>
        <w:spacing w:before="80" w:after="40"/>
      </w:pPr>
      <w:r>
        <w:t xml:space="preserve"/>
      </w:r>
      <w:r>
        <w:rPr>
          <w:i/>
        </w:rPr>
      </w:r>
      <w:r/>
      <w:proofErr w:type="gramStart"/>
      <w:r/>
      <w:proofErr w:type="gramEnd"/>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color w:val="auto"/>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tblGrid>
      <w:tr w:rsidR="000640A2">
        <w:trPr>
          <w:cantSplit/>
          <w:tblHeader/>
          <w:jc w:val="center"/>
        </w:trPr>
        <w:tc>
          <w:tcPr>
            <w:tcW w:w="132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Model</w:t>
            </w:r>
          </w:p>
        </w:tc>
        <w:tc>
          <w:tcPr>
            <w:tcW w:w="100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Partition</w:t>
            </w:r>
          </w:p>
        </w:tc>
        <w:tc>
          <w:tcPr>
            <w:tcW w:w="136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N sparse</w:t>
            </w:r>
          </w:p>
        </w:tc>
        <w:tc>
          <w:tcPr>
            <w:tcW w:w="64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G</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95% interval</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Role</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0.0351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0.0170 to 0.0821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Primary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0.0546</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0.0331 to 0.1040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0.0406</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0.0256 to 0.0889</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0.0295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0.0089 to 0.0848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0.0400 ± 0.0107</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Table 5</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0.0365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0.0233 to 0.0878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Primary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0.0834</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0.0513 to 0.1439</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0.0408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0.0286 to 0.0907</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0.0715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0.0450 to 0.1251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0.0581 ± 0.0230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color w:val="auto"/>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color w:val="auto"/>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color w:val="auto"/>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in press. doi: 10.1007/978-3-032-37673-2_33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color w:val="auto"/>
        </w:rPr>
        <w:t xml:space="preserve">P. J. Chen, M. E. Hsieh, and T. Y. Tsai,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color w:val="auto"/>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color w:val="auto"/>
          </w:rPr>
          <w:t xml:space="preserve">CC BY 4.0</w:t>
        </w:r>
      </w:hyperlink>
      <w:r>
        <w:rPr>
          <w:color w:val="auto"/>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dc:identifier/>
</cp:coreProperties>
</file>