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 Evaluating Knowledge Tracing on Rarely Practiced Knowledge Components</w:t>
      </w:r>
      <w:r w:rsidRPr="00607E6B">
        <w:rPr>
          <w:sz w:val="40"/>
        </w:rPr>
      </w:r>
      <w:r w:rsidRPr="00607E6B">
        <w:rPr>
          <w:sz w:val="40"/>
          <w:color w:val="000000"/>
        </w:rPr>
      </w:r>
      <w:r w:rsidRPr="00607E6B">
        <w:rPr>
          <w:sz w:val="40"/>
        </w:rPr>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Engineering, Hung Yen, Vietnam</w:t>
      </w:r>
    </w:p>
    <w:p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2"/>
          <w:szCs w:val="2"/>
          <w:lang w:eastAsia="zh-CN"/>
        </w:rPr>
        <w:spacing w:before="0" w:after="0" w:line="20" w:lineRule="exact"/>
      </w:pPr>
    </w:p>
    <w:p w:rsidR="00B537AA" w:rsidRPr="00E61DEF" w:rsidRDefault="00B537AA" w:rsidP="00E61DEF">
      <w:pPr>
        <w:rPr>
          <w:sz w:val="2"/>
        </w:rPr>
        <w:sectPr w:rsidR="00B537AA" w:rsidRPr="00E61DEF" w:rsidSect="00607E6B">
          <w:headerReference w:type="default" r:id="rId8"/>
          <w:footerReference w:type="default" r:id="rId32"/>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color w:val="auto"/>
        </w:rPr>
        <w:t>Abstract—</w:t>
      </w:r>
      <w:r>
        <w:rPr>
          <w:rFonts w:eastAsia="Times New Roman"/>
          <w:i/>
          <w:color w:val="auto"/>
        </w:rPr>
        <w:t xml:space="preserve">Knowledge tracing (KT) models are usually ranked by the area under the receiver operating characteristic curve (AUC) over all responses, which can hide poor calibration on knowledge components (KCs) that learners rarely practice. We fix one protocol on ASSISTments 2012: the validation-AUC checkpoint, non-overlapping test windows of at most 200 responses, 15 equal-width bins, frequency groups, and four unique learner partitions. For deep knowledge tracing (DKT), the mean expected calibration error (ECE) was 0.0982 on sparse KCs and 0.0089 on dense KCs, a difference of 0.0893. When dense rows were subsampled to the sparse sample size, the gap was 0.0400, and its learner-cluster 95% interval on one partition was 0.0170 to 0.0821, although the conservative small-sample bias reference averaged −0.0081. A causally masked Transformer showed the same direction (difference 0.1041). In a DKT checkpoint-by-window grid, the validation-AUC checkpoint was associated with a sparse–dense difference lower by 0.0181 to 0.0774 than the final checkpoint, whereas changing the test window shifted it by −0.0131 to +0.0068. The evidence comes from one dataset with a mean of 398 sparse responses per partition; Junyi Academy had no sparse group. Reports should give frequency-stratified calibration, group sizes, and the checkpoint rule alongside overall AUC.</w:t>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color w:val="000000"/>
        </w:rPr>
      </w:r>
      <w:r>
        <w:rPr>
          <w:rFonts w:eastAsia="Times New Roman"/>
          <w:color w:val="000000"/>
        </w:rPr>
      </w:r>
      <w:r>
        <w:rPr>
          <w:rFonts w:eastAsia="Times New Roman"/>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rPr>
      </w:r>
      <w:r>
        <w:rPr>
          <w:rFonts w:eastAsia="Times New Roman"/>
        </w:rPr>
      </w:r>
      <w:r>
        <w:rPr>
          <w:rFonts w:eastAsia="Times New Roman"/>
          <w:color w:val="000000"/>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color w:val="000000"/>
        </w:rPr>
      </w:r>
      <w:r>
        <w:rPr>
          <w:rFonts w:eastAsia="Times New Roman"/>
        </w:rPr>
      </w:r>
      <w:r>
        <w:rPr>
          <w:rFonts w:eastAsia="Times New Roman"/>
        </w:rPr>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rPr>
          <w:color w:val="auto"/>
        </w:rP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(Table 7),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r>
        <w:lastRenderedPageBreak/>
        <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rPr>
          <w:color w:val="auto"/>
        </w:rPr>
        <w:t xml:space="preserve">The study addresses three research questions. Only ASSISTments 2012, under the primary protocol (Section III.C), is used for the primary answers. Junyi Academy is a post-hoc check. XES3G5M contributes distribution and estimability, not model scores.</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rPr>
          <w:color w:val="auto"/>
        </w:rPr>
        <w:t xml:space="preserve">RQ1: Under the primary protocol, how does expected calibration error (ECE) differ between sparse and dense knowledge components on ASSISTments 2012, once the bias reference and a size-matched comparison are reported separately?</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t xml:space="preserve">RQ2: </w:t>
      </w:r>
      <w:r>
        <w:rPr>
          <w:color w:val="auto"/>
        </w:rPr>
        <w:t>When</w:t>
      </w:r>
      <w:r>
        <w:t xml:space="preserve"> </w:t>
      </w:r>
      <w:r>
        <w:rPr>
          <w:color w:val="auto"/>
        </w:rPr>
        <w:t>is</w:t>
      </w:r>
      <w:r>
        <w:t xml:space="preserve"> a sparse-versus-dense </w:t>
      </w:r>
      <w:r>
        <w:rPr>
          <w:color w:val="auto"/>
        </w:rPr>
        <w:t>contrast</w:t>
      </w:r>
      <w:r>
        <w:t xml:space="preserve"> </w:t>
      </w:r>
      <w:r>
        <w:rPr>
          <w:color w:val="auto"/>
        </w:rPr>
        <w:t>estimable,</w:t>
      </w:r>
      <w:r>
        <w:t xml:space="preserve"> </w:t>
      </w:r>
      <w:r>
        <w:rPr>
          <w:color w:val="auto"/>
        </w:rPr>
        <w:t>and</w:t>
      </w:r>
      <w:r>
        <w:t xml:space="preserve"> </w:t>
      </w:r>
      <w:r>
        <w:rPr>
          <w:color w:val="auto"/>
        </w:rPr>
        <w:t>when</w:t>
      </w:r>
      <w:r>
        <w:t xml:space="preserve"> </w:t>
      </w:r>
      <w:r>
        <w:rPr>
          <w:color w:val="auto"/>
        </w:rPr>
        <w:t>must</w:t>
      </w:r>
      <w:r>
        <w:t xml:space="preserve"> </w:t>
      </w:r>
      <w:r>
        <w:rPr>
          <w:color w:val="auto"/>
        </w:rPr>
        <w:t>model-based</w:t>
      </w:r>
      <w:r>
        <w:t xml:space="preserve"> </w:t>
      </w:r>
      <w:r>
        <w:rPr>
          <w:color w:val="auto"/>
        </w:rPr>
        <w:t>results</w:t>
      </w:r>
      <w:r>
        <w:t xml:space="preserve"> be </w:t>
      </w:r>
      <w:r>
        <w:rPr>
          <w:color w:val="auto"/>
        </w:rPr>
        <w:t>withheld?</w:t>
      </w:r>
    </w:p>
    <w:p w:rsidR="00C62791" w:rsidRDefault="00AA3681" w:rsidP="00607E6B">
      <w:pPr>
        <w:pStyle w:val="Text"/>
        <w:spacing w:line="252" w:lineRule="exact"/>
      </w:pPr>
      <w:r>
        <w:rPr>
          <w:color w:val="auto"/>
        </w:rPr>
        <w:t xml:space="preserve">RQ3: On ASSISTments 2012, how does the deep knowledge tracing (DKT) contrast change when the checkpoint and the test window are varied one at a time?</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rPr>
          <w:color w:val="auto"/>
        </w:rPr>
        <w:t xml:space="preserve">For RQ1, DKT and a causally masked Transformer are the primary models. Across four unique partitions their sparse ECE exceeds their dense ECE. The size-matched gap is positive, and the fold-0 interval for that gap excludes 0. ΔECE* does not stay positive on every partition, so the bias reference and the matched interval are not the same statement. Section IV gives the partition means. For RQ2, Junyi Academy has no sparse group. XES3G5M has a low-frequency tail in its KC-level file, but check L8 failed and no corrected model was trained, so it is a descriptive audit only. For RQ3, in the DKT grid of Table A2 the validation-AUC checkpoint was associated with a ΔECE lower by 0.0181 to 0.0774 than the final checkpoint at a fixed test window, in every reported run, whereas changing the window at a fixed checkpoint changed ΔECE by −0.0131 to +0.0068. Two runs on one learner partition differ by up to 0.0268, so these are checkpoint-associated differences for one model and dataset, not a general causal estimate.</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color w:val="000000"/>
        </w:rPr>
      </w:r>
      <w:r>
        <w:rPr>
          <w:color w:val="000000"/>
        </w:rPr>
      </w:r>
      <w:r/>
      <w:r>
        <w:rPr>
          <w:color w:val="000000"/>
        </w:rPr>
      </w:r>
      <w:r>
        <w:rPr>
          <w:color w:val="000000"/>
        </w:rPr>
      </w:r>
      <w:r>
        <w:rPr/>
      </w:r>
      <w:r/>
      <w:r>
        <w:rPr>
          <w:color w:val="000000"/>
        </w:rPr>
      </w:r>
      <w:r>
        <w:rPr>
          <w:color w:val="000000"/>
        </w:rPr>
      </w:r>
      <w:r/>
    </w:p>
    <w:p w:rsidR="00C62791" w:rsidRDefault="00AA3681" w:rsidP="00607E6B">
      <w:pPr>
        <w:pStyle w:val="Text"/>
        <w:spacing w:line="252" w:lineRule="exact"/>
      </w:pPr>
      <w:r>
        <w:rPr>
          <w:color w:val="auto"/>
        </w:rPr>
        <w:t xml:space="preserve">The paper makes three contributions. First, it specifies a protocol that groups knowledge components by training frequency, labels sample support, defines ΔECE* as a bias reference rather than a test, and states eight leakage checks. Second, it reports ASSISTments DKT and the causally masked Transformer (T-KT masked) under that protocol, with the raw contrast, the bias reference, and the size-matched gap kept apart. Third, it states the limits of the evidence: Junyi Academy is post-hoc and has no sparse group, XES3G5M is a descriptive audit only, and a change of both checkpoint and test window is not a single-cause result. Unmasked T-KT is not used as a finding.</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rPr>
          <w:color w:val="auto"/>
        </w:rPr>
        <w:t xml:space="preserve">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Uncertainty-Aware Knowledge Tracing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rPr>
          <w:color w:val="auto"/>
        </w:rPr>
        <w:t xml:space="preserve">Table 1. Cohort statistics after preprocessing (learner-based split; test events from fold 0). For XES3G5M, interactions and test events are KC-level rows (Section III.A). Test events are all test rows of fold 0; Tables 4, 5, and A1–A5 use only the rows with a nonempty test history.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3E6F92">
        <w:trPr>
          <w:cantSplit/>
          <w:tblHeader/>
          <w:jc w:val="center"/>
        </w:trPr>
        <w:tc>
          <w:tcPr>
            <w:tcW w:w="1696" w:type="pct"/>
            <w:tcMar>
              <w:top w:w="10" w:type="dxa"/>
              <w:left w:w="20" w:type="dxa"/>
              <w:bottom w:w="10" w:type="dxa"/>
              <w:right w:w="20" w:type="dxa"/>
            </w:tcMar>
            <w:vAlign w:val="center"/>
          </w:tcPr>
          <w:p w:rsidR="003E6F92" w:rsidRDefault="00B0150D">
            <w:pPr>
              <w:keepNext/>
              <w:jc w:val="center"/>
              <w:rPr>
                <w:b/>
                <w:sz w:val="16"/>
              </w:rPr>
            </w:pPr>
            <w:r>
              <w:rPr>
                <w:b/>
                <w:sz w:val="16"/>
              </w:rPr>
              <w:t>Dataset</w:t>
            </w:r>
          </w:p>
        </w:tc>
        <w:tc>
          <w:tcPr>
            <w:tcW w:w="713" w:type="pct"/>
            <w:tcMar>
              <w:top w:w="10" w:type="dxa"/>
              <w:left w:w="20" w:type="dxa"/>
              <w:bottom w:w="10" w:type="dxa"/>
              <w:right w:w="20" w:type="dxa"/>
            </w:tcMar>
            <w:vAlign w:val="center"/>
          </w:tcPr>
          <w:p w:rsidR="003E6F92" w:rsidRDefault="00B0150D">
            <w:pPr>
              <w:keepNext/>
              <w:jc w:val="center"/>
              <w:rPr>
                <w:b/>
                <w:sz w:val="16"/>
              </w:rPr>
            </w:pPr>
            <w:r>
              <w:rPr>
                <w:b/>
                <w:sz w:val="16"/>
              </w:rPr>
              <w:t>Learners</w:t>
            </w:r>
          </w:p>
        </w:tc>
        <w:tc>
          <w:tcPr>
            <w:tcW w:w="488" w:type="pct"/>
            <w:tcMar>
              <w:top w:w="10" w:type="dxa"/>
              <w:left w:w="20" w:type="dxa"/>
              <w:bottom w:w="10" w:type="dxa"/>
              <w:right w:w="20" w:type="dxa"/>
            </w:tcMar>
            <w:vAlign w:val="center"/>
          </w:tcPr>
          <w:p w:rsidR="003E6F92" w:rsidRDefault="00B0150D">
            <w:pPr>
              <w:keepNext/>
              <w:jc w:val="center"/>
              <w:rPr>
                <w:b/>
                <w:sz w:val="16"/>
              </w:rPr>
            </w:pPr>
            <w:r>
              <w:rPr>
                <w:b/>
                <w:sz w:val="16"/>
              </w:rPr>
              <w:t>KCs</w:t>
            </w:r>
          </w:p>
        </w:tc>
        <w:tc>
          <w:tcPr>
            <w:tcW w:w="909" w:type="pct"/>
            <w:tcMar>
              <w:top w:w="10" w:type="dxa"/>
              <w:left w:w="20" w:type="dxa"/>
              <w:bottom w:w="10" w:type="dxa"/>
              <w:right w:w="20" w:type="dxa"/>
            </w:tcMar>
            <w:vAlign w:val="center"/>
          </w:tcPr>
          <w:p w:rsidR="003E6F92" w:rsidRDefault="00B0150D">
            <w:pPr>
              <w:keepNext/>
              <w:jc w:val="center"/>
              <w:rPr>
                <w:b/>
                <w:sz w:val="16"/>
              </w:rPr>
            </w:pPr>
            <w:r>
              <w:rPr>
                <w:b/>
                <w:sz w:val="16"/>
              </w:rPr>
              <w:t>Interactions</w:t>
            </w:r>
          </w:p>
        </w:tc>
        <w:tc>
          <w:tcPr>
            <w:tcW w:w="1194" w:type="pct"/>
            <w:tcMar>
              <w:top w:w="10" w:type="dxa"/>
              <w:left w:w="20" w:type="dxa"/>
              <w:bottom w:w="10" w:type="dxa"/>
              <w:right w:w="20" w:type="dxa"/>
            </w:tcMar>
            <w:vAlign w:val="center"/>
          </w:tcPr>
          <w:p w:rsidR="003E6F92" w:rsidRDefault="00B0150D">
            <w:pPr>
              <w:keepNext/>
              <w:jc w:val="center"/>
              <w:rPr>
                <w:b/>
                <w:sz w:val="16"/>
              </w:rPr>
            </w:pPr>
            <w:r>
              <w:rPr>
                <w:b/>
                <w:sz w:val="16"/>
              </w:rPr>
              <w:t>Test events</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27,806</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265</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2.66M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534,150</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Junyi Academy</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71,014</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1,326</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16.2M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3,269,022</w:t>
            </w:r>
          </w:p>
        </w:tc>
      </w:tr>
      <w:tr w:rsidR="003E6F92">
        <w:trPr>
          <w:cantSplit/>
          <w:jc w:val="center"/>
        </w:trPr>
        <w:tc>
          <w:tcPr>
            <w:tcW w:w="1696" w:type="pct"/>
            <w:tcMar>
              <w:top w:w="10" w:type="dxa"/>
              <w:left w:w="20" w:type="dxa"/>
              <w:bottom w:w="10" w:type="dxa"/>
              <w:right w:w="20" w:type="dxa"/>
            </w:tcMar>
            <w:vAlign w:val="center"/>
          </w:tcPr>
          <w:p w:rsidR="003E6F92" w:rsidRDefault="00B0150D">
            <w:pPr>
              <w:jc w:val="center"/>
              <w:rPr>
                <w:sz w:val="16"/>
              </w:rPr>
            </w:pPr>
            <w:r>
              <w:rPr>
                <w:sz w:val="16"/>
              </w:rPr>
              <w:t>XES3G5M</w:t>
            </w:r>
          </w:p>
        </w:tc>
        <w:tc>
          <w:tcPr>
            <w:tcW w:w="713" w:type="pct"/>
            <w:tcMar>
              <w:top w:w="10" w:type="dxa"/>
              <w:left w:w="20" w:type="dxa"/>
              <w:bottom w:w="10" w:type="dxa"/>
              <w:right w:w="20" w:type="dxa"/>
            </w:tcMar>
            <w:vAlign w:val="center"/>
          </w:tcPr>
          <w:p w:rsidR="003E6F92" w:rsidRDefault="00B0150D">
            <w:pPr>
              <w:jc w:val="center"/>
              <w:rPr>
                <w:sz w:val="16"/>
              </w:rPr>
            </w:pPr>
            <w:r>
              <w:rPr>
                <w:sz w:val="16"/>
              </w:rPr>
              <w:t>18,066</w:t>
            </w:r>
          </w:p>
        </w:tc>
        <w:tc>
          <w:tcPr>
            <w:tcW w:w="488" w:type="pct"/>
            <w:tcMar>
              <w:top w:w="10" w:type="dxa"/>
              <w:left w:w="20" w:type="dxa"/>
              <w:bottom w:w="10" w:type="dxa"/>
              <w:right w:w="20" w:type="dxa"/>
            </w:tcMar>
            <w:vAlign w:val="center"/>
          </w:tcPr>
          <w:p w:rsidR="003E6F92" w:rsidRDefault="00B0150D">
            <w:pPr>
              <w:jc w:val="center"/>
              <w:rPr>
                <w:sz w:val="16"/>
              </w:rPr>
            </w:pPr>
            <w:r>
              <w:rPr>
                <w:sz w:val="16"/>
              </w:rPr>
              <w:t>865</w:t>
            </w:r>
          </w:p>
        </w:tc>
        <w:tc>
          <w:tcPr>
            <w:tcW w:w="909" w:type="pct"/>
            <w:tcMar>
              <w:top w:w="10" w:type="dxa"/>
              <w:left w:w="20" w:type="dxa"/>
              <w:bottom w:w="10" w:type="dxa"/>
              <w:right w:w="20" w:type="dxa"/>
            </w:tcMar>
            <w:vAlign w:val="center"/>
          </w:tcPr>
          <w:p w:rsidR="003E6F92" w:rsidRDefault="00B0150D">
            <w:pPr>
              <w:jc w:val="center"/>
              <w:rPr>
                <w:sz w:val="16"/>
              </w:rPr>
            </w:pPr>
            <w:r>
              <w:rPr>
                <w:sz w:val="16"/>
              </w:rPr>
              <w:t>6.41M</w:t>
            </w:r>
          </w:p>
        </w:tc>
        <w:tc>
          <w:tcPr>
            <w:tcW w:w="1194" w:type="pct"/>
            <w:tcMar>
              <w:top w:w="10" w:type="dxa"/>
              <w:left w:w="20" w:type="dxa"/>
              <w:bottom w:w="10" w:type="dxa"/>
              <w:right w:w="20" w:type="dxa"/>
            </w:tcMar>
            <w:vAlign w:val="center"/>
          </w:tcPr>
          <w:p w:rsidR="003E6F92" w:rsidRDefault="00B0150D">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rPr>
          <w:color w:val="auto"/>
        </w:rPr>
        <w:t xml:space="preserve">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counted in artifact v4, audits/xes_padding_counts.csv),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ASSISTments 2012 and Junyi Academy, seeds 2025 and 2026 share one learner partition (fold 2 = fold 3), so the five runs cover four distinct partitions, and the two runs on the shared partition were averaged before averaging across partitions. Unless stated otherwise, every mean ± standard deviation reported here is therefore an equal-weight summary over four learner-based partitions.</w:t>
      </w:r>
      <w:r>
        <w:lastRenderedPageBreak/>
        <w:t/>
      </w:r>
    </w:p>
    <w:p w:rsidR="00C62791" w:rsidRDefault="00C10D83" w:rsidP="00607E6B">
      <w:pPr>
        <w:pStyle w:val="Heading2"/>
        <w:numPr>
          <w:ilvl w:val="0"/>
          <w:numId w:val="0"/>
        </w:numPr>
      </w:pPr>
      <w:r>
        <w:t>C. Models</w:t>
      </w:r>
    </w:p>
    <w:p w:rsidR="00C62791" w:rsidRDefault="00AA3681" w:rsidP="00607E6B">
      <w:pPr>
        <w:pStyle w:val="Text"/>
        <w:spacing w:line="252" w:lineRule="exact"/>
      </w:pPr>
      <w:r>
        <w:rPr>
          <w:color w:val="auto"/>
        </w:rPr>
        <w:t xml:space="preserve">Table 2 lists the runs that supply the primary and sensitivity scores. DKT is a long short-term memory (LSTM) network over KC–response tokens and pads with index 0. T-KT masked is a two-layer Transformer over the same tokens, with a causal mask, no positional encoding (order enters only through the mask), and padding id 2n (n is the number of KCs). Both were trained on ASSISTments 2012 for at most 50 epochs, with patience 8, and the saved checkpoint is the one with the highest validation AUC. Test sequences are scored in non-overlapping windows of at most 200. We call this setting the primary protocol (internal ID P0-BV200-15EW): the validation-AUC checkpoint, non-overlapping test windows of at most 200 responses, and M = 15 equal-width bins (Section III.E). simpleKT is the pyKT implementation and is a sensitivity analysis, not a primary model. BKT was not scored.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r>
        <w:rPr>
          <w:i/>
        </w:rPr>
      </w:r>
      <w:r/>
      <w:r>
        <w:rPr>
          <w:i/>
        </w:rPr>
      </w:r>
      <w:r/>
      <w:r>
        <w:rPr>
          <w:i/>
        </w:rPr>
      </w:r>
      <w:r/>
      <w:r>
        <w:rPr>
          <w:i/>
        </w:rPr>
      </w:r>
      <w:r/>
    </w:p>
    <w:p w:rsidR="00C62791" w:rsidRDefault="00AA3681" w:rsidP="00607E6B">
      <w:pPr>
        <w:pStyle w:val="Text"/>
        <w:spacing w:line="252" w:lineRule="exact"/>
      </w:pPr>
      <w:r>
        <w:rPr>
          <w:color w:val="auto"/>
        </w:rPr>
        <w:t xml:space="preserve">The primary checkpoint is the validation-AUC checkpoint, not the final epoch. The final epoch and the full test history appear only as sensitivity cells in Table A2. That grid was pre-specified for ASSISTments DKT in an analysis plan committed on 21 October 2026 (commit 46e0208, before the first supplementary run) and included in artifact v4. Junyi DKT uses the same checkpoint and window rules, but it was not in the pre-specified plan and is not called pre-specified.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Pr/>
      </w:r>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8F3D6E"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11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Style w:val="figurecaption0"/>
        <w:keepNext/>
        <w:spacing w:before="80" w:after="40"/>
      </w:pPr>
      <w:r>
        <w:rPr>
          <w:color w:val="auto"/>
        </w:rPr>
        <w:t xml:space="preserve">Table 2. Configuration of the scored neural models. Primary rows are ASSISTments DKT and T-KT masked under the primary protocol. simpleKT is sensitivity. No missing setting was filled in.</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3E6F92">
        <w:trPr>
          <w:cantSplit/>
          <w:tblHeader/>
          <w:jc w:val="center"/>
        </w:trPr>
        <w:tc>
          <w:tcPr>
            <w:tcW w:w="1146" w:type="pct"/>
            <w:tcMar>
              <w:top w:w="10" w:type="dxa"/>
              <w:left w:w="20" w:type="dxa"/>
              <w:bottom w:w="10" w:type="dxa"/>
              <w:right w:w="20" w:type="dxa"/>
            </w:tcMar>
            <w:vAlign w:val="center"/>
          </w:tcPr>
          <w:p>
            <w:r>
              <w:rPr>
                <w:sz w:val="16"/>
                <w:szCs w:val="16"/>
                <w:color w:val="000000"/>
              </w:rPr>
              <w:t xml:space="preserve">Setting</w:t>
            </w:r>
          </w:p>
        </w:tc>
        <w:tc>
          <w:tcPr>
            <w:tcW w:w="1246" w:type="pct"/>
            <w:tcMar>
              <w:top w:w="10" w:type="dxa"/>
              <w:left w:w="20" w:type="dxa"/>
              <w:bottom w:w="10" w:type="dxa"/>
              <w:right w:w="20" w:type="dxa"/>
            </w:tcMar>
            <w:vAlign w:val="center"/>
          </w:tcPr>
          <w:p>
            <w:r>
              <w:rPr>
                <w:sz w:val="16"/>
                <w:szCs w:val="16"/>
                <w:color w:val="000000"/>
              </w:rPr>
              <w:t xml:space="preserve">DKT</w:t>
            </w:r>
          </w:p>
        </w:tc>
        <w:tc>
          <w:tcPr>
            <w:tcW w:w="1196" w:type="pct"/>
            <w:tcMar>
              <w:top w:w="10" w:type="dxa"/>
              <w:left w:w="20" w:type="dxa"/>
              <w:bottom w:w="10" w:type="dxa"/>
              <w:right w:w="20" w:type="dxa"/>
            </w:tcMar>
            <w:vAlign w:val="center"/>
          </w:tcPr>
          <w:p>
            <w:r>
              <w:rPr>
                <w:sz w:val="16"/>
                <w:szCs w:val="16"/>
                <w:color w:val="000000"/>
              </w:rPr>
              <w:t xml:space="preserve">T-KT masked</w:t>
            </w:r>
          </w:p>
        </w:tc>
        <w:tc>
          <w:tcPr>
            <w:tcW w:w="1412" w:type="pct"/>
            <w:tcMar>
              <w:top w:w="10" w:type="dxa"/>
              <w:left w:w="20" w:type="dxa"/>
              <w:bottom w:w="10" w:type="dxa"/>
              <w:right w:w="20" w:type="dxa"/>
            </w:tcMar>
            <w:vAlign w:val="center"/>
          </w:tcPr>
          <w:p>
            <w:r>
              <w:rPr>
                <w:color w:val="000000"/>
                <w:sz w:val="16"/>
                <w:szCs w:val="16"/>
              </w:rPr>
              <w:t xml:space="preserve">simpleKT</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Architecture</w:t>
            </w:r>
          </w:p>
        </w:tc>
        <w:tc>
          <w:tcPr>
            <w:tcW w:w="1246" w:type="pct"/>
            <w:tcMar>
              <w:top w:w="10" w:type="dxa"/>
              <w:left w:w="20" w:type="dxa"/>
              <w:bottom w:w="10" w:type="dxa"/>
              <w:right w:w="20" w:type="dxa"/>
            </w:tcMar>
            <w:vAlign w:val="center"/>
          </w:tcPr>
          <w:p>
            <w:r>
              <w:rPr>
                <w:color w:val="000000"/>
                <w:sz w:val="16"/>
                <w:szCs w:val="16"/>
              </w:rPr>
              <w:t xml:space="preserve">LSTM</w:t>
            </w:r>
          </w:p>
        </w:tc>
        <w:tc>
          <w:tcPr>
            <w:tcW w:w="1196" w:type="pct"/>
            <w:tcMar>
              <w:top w:w="10" w:type="dxa"/>
              <w:left w:w="20" w:type="dxa"/>
              <w:bottom w:w="10" w:type="dxa"/>
              <w:right w:w="20" w:type="dxa"/>
            </w:tcMar>
            <w:vAlign w:val="center"/>
          </w:tcPr>
          <w:p>
            <w:r>
              <w:rPr>
                <w:color w:val="000000"/>
                <w:sz w:val="16"/>
                <w:szCs w:val="16"/>
              </w:rPr>
              <w:t xml:space="preserve">Causal Transformer</w:t>
            </w:r>
          </w:p>
        </w:tc>
        <w:tc>
          <w:tcPr>
            <w:tcW w:w="1412" w:type="pct"/>
            <w:tcMar>
              <w:top w:w="10" w:type="dxa"/>
              <w:left w:w="20" w:type="dxa"/>
              <w:bottom w:w="10" w:type="dxa"/>
              <w:right w:w="20" w:type="dxa"/>
            </w:tcMar>
            <w:vAlign w:val="center"/>
          </w:tcPr>
          <w:p>
            <w:r>
              <w:rPr>
                <w:color w:val="000000"/>
                <w:sz w:val="16"/>
                <w:szCs w:val="16"/>
              </w:rPr>
              <w:t xml:space="preserve">pyKT simpleKT</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Embedding size</w:t>
            </w:r>
          </w:p>
        </w:tc>
        <w:tc>
          <w:tcPr>
            <w:tcW w:w="1246" w:type="pct"/>
            <w:tcMar>
              <w:top w:w="10" w:type="dxa"/>
              <w:left w:w="20" w:type="dxa"/>
              <w:bottom w:w="10" w:type="dxa"/>
              <w:right w:w="20" w:type="dxa"/>
            </w:tcMar>
            <w:vAlign w:val="center"/>
          </w:tcPr>
          <w:p>
            <w:r>
              <w:rPr>
                <w:color w:val="000000"/>
                <w:sz w:val="16"/>
                <w:szCs w:val="16"/>
              </w:rPr>
              <w:t xml:space="preserve">64</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256</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Hidden size</w:t>
            </w:r>
          </w:p>
        </w:tc>
        <w:tc>
          <w:tcPr>
            <w:tcW w:w="1246" w:type="pct"/>
            <w:tcMar>
              <w:top w:w="10" w:type="dxa"/>
              <w:left w:w="20" w:type="dxa"/>
              <w:bottom w:w="10" w:type="dxa"/>
              <w:right w:w="20" w:type="dxa"/>
            </w:tcMar>
            <w:vAlign w:val="center"/>
          </w:tcPr>
          <w:p>
            <w:r>
              <w:rPr>
                <w:color w:val="000000"/>
                <w:sz w:val="16"/>
                <w:szCs w:val="16"/>
              </w:rPr>
              <w:t xml:space="preserve">128</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256</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Number of layers</w:t>
            </w:r>
          </w:p>
        </w:tc>
        <w:tc>
          <w:tcPr>
            <w:tcW w:w="1246" w:type="pct"/>
            <w:tcMar>
              <w:top w:w="10" w:type="dxa"/>
              <w:left w:w="20" w:type="dxa"/>
              <w:bottom w:w="10" w:type="dxa"/>
              <w:right w:w="20" w:type="dxa"/>
            </w:tcMar>
            <w:vAlign w:val="center"/>
          </w:tcPr>
          <w:p>
            <w:r>
              <w:rPr>
                <w:color w:val="000000"/>
                <w:sz w:val="16"/>
                <w:szCs w:val="16"/>
              </w:rPr>
              <w:t xml:space="preserve">1</w:t>
            </w:r>
          </w:p>
        </w:tc>
        <w:tc>
          <w:tcPr>
            <w:tcW w:w="1196" w:type="pct"/>
            <w:tcMar>
              <w:top w:w="10" w:type="dxa"/>
              <w:left w:w="20" w:type="dxa"/>
              <w:bottom w:w="10" w:type="dxa"/>
              <w:right w:w="20" w:type="dxa"/>
            </w:tcMar>
            <w:vAlign w:val="center"/>
          </w:tcPr>
          <w:p>
            <w:r>
              <w:rPr>
                <w:color w:val="000000"/>
                <w:sz w:val="16"/>
                <w:szCs w:val="16"/>
              </w:rPr>
              <w:t xml:space="preserve">2</w:t>
            </w:r>
          </w:p>
        </w:tc>
        <w:tc>
          <w:tcPr>
            <w:tcW w:w="1412" w:type="pct"/>
            <w:tcMar>
              <w:top w:w="10" w:type="dxa"/>
              <w:left w:w="20" w:type="dxa"/>
              <w:bottom w:w="10" w:type="dxa"/>
              <w:right w:w="20" w:type="dxa"/>
            </w:tcMar>
            <w:vAlign w:val="center"/>
          </w:tcPr>
          <w:p>
            <w:r>
              <w:rPr>
                <w:color w:val="000000"/>
                <w:sz w:val="16"/>
                <w:szCs w:val="16"/>
              </w:rPr>
              <w:t xml:space="preserve">2</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Attention heads</w:t>
            </w:r>
          </w:p>
        </w:tc>
        <w:tc>
          <w:tcPr>
            <w:tcW w:w="1246" w:type="pct"/>
            <w:tcMar>
              <w:top w:w="10" w:type="dxa"/>
              <w:left w:w="20" w:type="dxa"/>
              <w:bottom w:w="10" w:type="dxa"/>
              <w:right w:w="20" w:type="dxa"/>
            </w:tcMar>
            <w:vAlign w:val="center"/>
          </w:tcPr>
          <w:p>
            <w:r>
              <w:rPr>
                <w:color w:val="000000"/>
                <w:sz w:val="16"/>
                <w:szCs w:val="16"/>
              </w:rPr>
              <w:t xml:space="preserve">none</w:t>
            </w:r>
          </w:p>
        </w:tc>
        <w:tc>
          <w:tcPr>
            <w:tcW w:w="1196" w:type="pct"/>
            <w:tcMar>
              <w:top w:w="10" w:type="dxa"/>
              <w:left w:w="20" w:type="dxa"/>
              <w:bottom w:w="10" w:type="dxa"/>
              <w:right w:w="20" w:type="dxa"/>
            </w:tcMar>
            <w:vAlign w:val="center"/>
          </w:tcPr>
          <w:p>
            <w:r>
              <w:rPr>
                <w:color w:val="000000"/>
                <w:sz w:val="16"/>
                <w:szCs w:val="16"/>
              </w:rPr>
              <w:t xml:space="preserve">4</w:t>
            </w:r>
          </w:p>
        </w:tc>
        <w:tc>
          <w:tcPr>
            <w:tcW w:w="1412" w:type="pct"/>
            <w:tcMar>
              <w:top w:w="10" w:type="dxa"/>
              <w:left w:w="20" w:type="dxa"/>
              <w:bottom w:w="10" w:type="dxa"/>
              <w:right w:w="20" w:type="dxa"/>
            </w:tcMar>
            <w:vAlign w:val="center"/>
          </w:tcPr>
          <w:p>
            <w:r>
              <w:rPr>
                <w:color w:val="000000"/>
                <w:sz w:val="16"/>
                <w:szCs w:val="16"/>
              </w:rPr>
              <w:t xml:space="preserve">8</w:t>
            </w:r>
          </w:p>
        </w:tc>
      </w:tr>
      <w:tr w:rsidR="003E6F92">
        <w:trPr>
          <w:cantSplit/>
          <w:jc w:val="center"/>
        </w:trPr>
        <w:tc>
          <w:tcPr>
            <w:tcW w:w="1146" w:type="pct"/>
            <w:tcMar>
              <w:top w:w="10" w:type="dxa"/>
              <w:left w:w="20" w:type="dxa"/>
              <w:bottom w:w="10" w:type="dxa"/>
              <w:right w:w="20" w:type="dxa"/>
            </w:tcMar>
            <w:vAlign w:val="center"/>
          </w:tcPr>
          <w:p>
            <w:r>
              <w:rPr>
                <w:color w:val="auto"/>
                <w:sz w:val="16"/>
                <w:szCs w:val="16"/>
              </w:rPr>
              <w:t xml:space="preserve">Positional encoding</w:t>
            </w:r>
          </w:p>
        </w:tc>
        <w:tc>
          <w:tcPr>
            <w:tcW w:w="1246" w:type="pct"/>
            <w:tcMar>
              <w:top w:w="10" w:type="dxa"/>
              <w:left w:w="20" w:type="dxa"/>
              <w:bottom w:w="10" w:type="dxa"/>
              <w:right w:w="20" w:type="dxa"/>
            </w:tcMar>
            <w:vAlign w:val="center"/>
          </w:tcPr>
          <w:p>
            <w:r>
              <w:rPr>
                <w:color w:val="auto"/>
                <w:sz w:val="16"/>
                <w:szCs w:val="16"/>
              </w:rPr>
              <w:t xml:space="preserve">None (recurrent)</w:t>
            </w:r>
          </w:p>
        </w:tc>
        <w:tc>
          <w:tcPr>
            <w:tcW w:w="1196" w:type="pct"/>
            <w:tcMar>
              <w:top w:w="10" w:type="dxa"/>
              <w:left w:w="20" w:type="dxa"/>
              <w:bottom w:w="10" w:type="dxa"/>
              <w:right w:w="20" w:type="dxa"/>
            </w:tcMar>
            <w:vAlign w:val="center"/>
          </w:tcPr>
          <w:p>
            <w:r>
              <w:rPr>
                <w:color w:val="auto"/>
                <w:sz w:val="16"/>
                <w:szCs w:val="16"/>
              </w:rPr>
              <w:t xml:space="preserve">None (causal mask only)</w:t>
            </w:r>
          </w:p>
        </w:tc>
        <w:tc>
          <w:tcPr>
            <w:tcW w:w="1412" w:type="pct"/>
            <w:tcMar>
              <w:top w:w="10" w:type="dxa"/>
              <w:left w:w="20" w:type="dxa"/>
              <w:bottom w:w="10" w:type="dxa"/>
              <w:right w:w="20" w:type="dxa"/>
            </w:tcMar>
            <w:vAlign w:val="center"/>
          </w:tcPr>
          <w:p>
            <w:r>
              <w:rPr>
                <w:color w:val="auto"/>
                <w:sz w:val="16"/>
                <w:szCs w:val="16"/>
              </w:rPr>
              <w:t xml:space="preserve">As in pyKT</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Optimizer</w:t>
            </w:r>
          </w:p>
        </w:tc>
        <w:tc>
          <w:tcPr>
            <w:tcW w:w="1246" w:type="pct"/>
            <w:tcMar>
              <w:top w:w="10" w:type="dxa"/>
              <w:left w:w="20" w:type="dxa"/>
              <w:bottom w:w="10" w:type="dxa"/>
              <w:right w:w="20" w:type="dxa"/>
            </w:tcMar>
            <w:vAlign w:val="center"/>
          </w:tcPr>
          <w:p>
            <w:r>
              <w:rPr>
                <w:color w:val="000000"/>
                <w:sz w:val="16"/>
                <w:szCs w:val="16"/>
              </w:rPr>
              <w:t xml:space="preserve">Adam</w:t>
            </w:r>
          </w:p>
        </w:tc>
        <w:tc>
          <w:tcPr>
            <w:tcW w:w="1196" w:type="pct"/>
            <w:tcMar>
              <w:top w:w="10" w:type="dxa"/>
              <w:left w:w="20" w:type="dxa"/>
              <w:bottom w:w="10" w:type="dxa"/>
              <w:right w:w="20" w:type="dxa"/>
            </w:tcMar>
            <w:vAlign w:val="center"/>
          </w:tcPr>
          <w:p>
            <w:r>
              <w:rPr>
                <w:color w:val="000000"/>
                <w:sz w:val="16"/>
                <w:szCs w:val="16"/>
              </w:rPr>
              <w:t xml:space="preserve">Adam</w:t>
            </w:r>
          </w:p>
        </w:tc>
        <w:tc>
          <w:tcPr>
            <w:tcW w:w="1412" w:type="pct"/>
            <w:tcMar>
              <w:top w:w="10" w:type="dxa"/>
              <w:left w:w="20" w:type="dxa"/>
              <w:bottom w:w="10" w:type="dxa"/>
              <w:right w:w="20" w:type="dxa"/>
            </w:tcMar>
            <w:vAlign w:val="center"/>
          </w:tcPr>
          <w:p>
            <w:r>
              <w:rPr>
                <w:color w:val="000000"/>
                <w:sz w:val="16"/>
                <w:szCs w:val="16"/>
              </w:rPr>
              <w:t xml:space="preserve">Adam</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Learning rate</w:t>
            </w:r>
          </w:p>
        </w:tc>
        <w:tc>
          <w:tcPr>
            <w:tcW w:w="1246" w:type="pct"/>
            <w:tcMar>
              <w:top w:w="10" w:type="dxa"/>
              <w:left w:w="20" w:type="dxa"/>
              <w:bottom w:w="10" w:type="dxa"/>
              <w:right w:w="20" w:type="dxa"/>
            </w:tcMar>
            <w:vAlign w:val="center"/>
          </w:tcPr>
          <w:p>
            <w:r>
              <w:rPr>
                <w:color w:val="000000"/>
                <w:sz w:val="16"/>
                <w:szCs w:val="16"/>
              </w:rPr>
              <w:t xml:space="preserve">0.001</w:t>
            </w:r>
          </w:p>
        </w:tc>
        <w:tc>
          <w:tcPr>
            <w:tcW w:w="1196" w:type="pct"/>
            <w:tcMar>
              <w:top w:w="10" w:type="dxa"/>
              <w:left w:w="20" w:type="dxa"/>
              <w:bottom w:w="10" w:type="dxa"/>
              <w:right w:w="20" w:type="dxa"/>
            </w:tcMar>
            <w:vAlign w:val="center"/>
          </w:tcPr>
          <w:p>
            <w:r>
              <w:rPr>
                <w:color w:val="000000"/>
                <w:sz w:val="16"/>
                <w:szCs w:val="16"/>
              </w:rPr>
              <w:t xml:space="preserve">0.001</w:t>
            </w:r>
          </w:p>
        </w:tc>
        <w:tc>
          <w:tcPr>
            <w:tcW w:w="1412" w:type="pct"/>
            <w:tcMar>
              <w:top w:w="10" w:type="dxa"/>
              <w:left w:w="20" w:type="dxa"/>
              <w:bottom w:w="10" w:type="dxa"/>
              <w:right w:w="20" w:type="dxa"/>
            </w:tcMar>
            <w:vAlign w:val="center"/>
          </w:tcPr>
          <w:p>
            <w:r>
              <w:rPr>
                <w:color w:val="000000"/>
                <w:sz w:val="16"/>
                <w:szCs w:val="16"/>
              </w:rPr>
              <w:t xml:space="preserve">0.001</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Batch size</w:t>
            </w:r>
          </w:p>
        </w:tc>
        <w:tc>
          <w:tcPr>
            <w:tcW w:w="1246" w:type="pct"/>
            <w:tcMar>
              <w:top w:w="10" w:type="dxa"/>
              <w:left w:w="20" w:type="dxa"/>
              <w:bottom w:w="10" w:type="dxa"/>
              <w:right w:w="20" w:type="dxa"/>
            </w:tcMar>
            <w:vAlign w:val="center"/>
          </w:tcPr>
          <w:p>
            <w:r>
              <w:rPr>
                <w:color w:val="000000"/>
                <w:sz w:val="16"/>
                <w:szCs w:val="16"/>
              </w:rPr>
              <w:t xml:space="preserve">64</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24</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Max epochs</w:t>
            </w:r>
          </w:p>
        </w:tc>
        <w:tc>
          <w:tcPr>
            <w:tcW w:w="1246" w:type="pct"/>
            <w:tcMar>
              <w:top w:w="10" w:type="dxa"/>
              <w:left w:w="20" w:type="dxa"/>
              <w:bottom w:w="10" w:type="dxa"/>
              <w:right w:w="20" w:type="dxa"/>
            </w:tcMar>
            <w:vAlign w:val="center"/>
          </w:tcPr>
          <w:p>
            <w:r>
              <w:rPr>
                <w:color w:val="000000"/>
                <w:sz w:val="16"/>
                <w:szCs w:val="16"/>
              </w:rPr>
              <w:t xml:space="preserve">50</w:t>
            </w:r>
          </w:p>
        </w:tc>
        <w:tc>
          <w:tcPr>
            <w:tcW w:w="1196" w:type="pct"/>
            <w:tcMar>
              <w:top w:w="10" w:type="dxa"/>
              <w:left w:w="20" w:type="dxa"/>
              <w:bottom w:w="10" w:type="dxa"/>
              <w:right w:w="20" w:type="dxa"/>
            </w:tcMar>
            <w:vAlign w:val="center"/>
          </w:tcPr>
          <w:p>
            <w:r>
              <w:rPr>
                <w:color w:val="000000"/>
                <w:sz w:val="16"/>
                <w:szCs w:val="16"/>
              </w:rPr>
              <w:t xml:space="preserve">50</w:t>
            </w:r>
          </w:p>
        </w:tc>
        <w:tc>
          <w:tcPr>
            <w:tcW w:w="1412" w:type="pct"/>
            <w:tcMar>
              <w:top w:w="10" w:type="dxa"/>
              <w:left w:w="20" w:type="dxa"/>
              <w:bottom w:w="10" w:type="dxa"/>
              <w:right w:w="20" w:type="dxa"/>
            </w:tcMar>
            <w:vAlign w:val="center"/>
          </w:tcPr>
          <w:p>
            <w:r>
              <w:rPr>
                <w:color w:val="000000"/>
                <w:sz w:val="16"/>
                <w:szCs w:val="16"/>
              </w:rPr>
              <w:t xml:space="preserve">50</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Patience</w:t>
            </w:r>
          </w:p>
        </w:tc>
        <w:tc>
          <w:tcPr>
            <w:tcW w:w="1246" w:type="pct"/>
            <w:tcMar>
              <w:top w:w="10" w:type="dxa"/>
              <w:left w:w="20" w:type="dxa"/>
              <w:bottom w:w="10" w:type="dxa"/>
              <w:right w:w="20" w:type="dxa"/>
            </w:tcMar>
            <w:vAlign w:val="center"/>
          </w:tcPr>
          <w:p>
            <w:r>
              <w:rPr>
                <w:color w:val="000000"/>
                <w:sz w:val="16"/>
                <w:szCs w:val="16"/>
              </w:rPr>
              <w:t xml:space="preserve">8</w:t>
            </w:r>
          </w:p>
        </w:tc>
        <w:tc>
          <w:tcPr>
            <w:tcW w:w="1196" w:type="pct"/>
            <w:tcMar>
              <w:top w:w="10" w:type="dxa"/>
              <w:left w:w="20" w:type="dxa"/>
              <w:bottom w:w="10" w:type="dxa"/>
              <w:right w:w="20" w:type="dxa"/>
            </w:tcMar>
            <w:vAlign w:val="center"/>
          </w:tcPr>
          <w:p>
            <w:r>
              <w:rPr>
                <w:color w:val="000000"/>
                <w:sz w:val="16"/>
                <w:szCs w:val="16"/>
              </w:rPr>
              <w:t xml:space="preserve">8</w:t>
            </w:r>
          </w:p>
        </w:tc>
        <w:tc>
          <w:tcPr>
            <w:tcW w:w="1412" w:type="pct"/>
            <w:tcMar>
              <w:top w:w="10" w:type="dxa"/>
              <w:left w:w="20" w:type="dxa"/>
              <w:bottom w:w="10" w:type="dxa"/>
              <w:right w:w="20" w:type="dxa"/>
            </w:tcMar>
            <w:vAlign w:val="center"/>
          </w:tcPr>
          <w:p>
            <w:r>
              <w:rPr>
                <w:color w:val="000000"/>
                <w:sz w:val="16"/>
                <w:szCs w:val="16"/>
              </w:rPr>
              <w:t xml:space="preserve">8</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Checkpoint rule</w:t>
            </w:r>
          </w:p>
        </w:tc>
        <w:tc>
          <w:tcPr>
            <w:tcW w:w="1246" w:type="pct"/>
            <w:tcMar>
              <w:top w:w="10" w:type="dxa"/>
              <w:left w:w="20" w:type="dxa"/>
              <w:bottom w:w="10" w:type="dxa"/>
              <w:right w:w="20" w:type="dxa"/>
            </w:tcMar>
            <w:vAlign w:val="center"/>
          </w:tcPr>
          <w:p>
            <w:r>
              <w:rPr>
                <w:color w:val="000000"/>
                <w:sz w:val="16"/>
                <w:szCs w:val="16"/>
              </w:rPr>
              <w:t xml:space="preserve">Best validation AUC</w:t>
            </w:r>
          </w:p>
        </w:tc>
        <w:tc>
          <w:tcPr>
            <w:tcW w:w="1196" w:type="pct"/>
            <w:tcMar>
              <w:top w:w="10" w:type="dxa"/>
              <w:left w:w="20" w:type="dxa"/>
              <w:bottom w:w="10" w:type="dxa"/>
              <w:right w:w="20" w:type="dxa"/>
            </w:tcMar>
            <w:vAlign w:val="center"/>
          </w:tcPr>
          <w:p>
            <w:r>
              <w:rPr>
                <w:color w:val="000000"/>
                <w:sz w:val="16"/>
                <w:szCs w:val="16"/>
              </w:rPr>
              <w:t xml:space="preserve">Best validation AUC</w:t>
            </w:r>
          </w:p>
        </w:tc>
        <w:tc>
          <w:tcPr>
            <w:tcW w:w="1412" w:type="pct"/>
            <w:tcMar>
              <w:top w:w="10" w:type="dxa"/>
              <w:left w:w="20" w:type="dxa"/>
              <w:bottom w:w="10" w:type="dxa"/>
              <w:right w:w="20" w:type="dxa"/>
            </w:tcMar>
            <w:vAlign w:val="center"/>
          </w:tcPr>
          <w:p>
            <w:r>
              <w:rPr>
                <w:color w:val="000000"/>
                <w:sz w:val="16"/>
                <w:szCs w:val="16"/>
              </w:rPr>
              <w:t xml:space="preserve">Best validation AUC</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Test history rule</w:t>
            </w:r>
          </w:p>
        </w:tc>
        <w:tc>
          <w:tcPr>
            <w:tcW w:w="1246" w:type="pct"/>
            <w:tcMar>
              <w:top w:w="10" w:type="dxa"/>
              <w:left w:w="20" w:type="dxa"/>
              <w:bottom w:w="10" w:type="dxa"/>
              <w:right w:w="20" w:type="dxa"/>
            </w:tcMar>
            <w:vAlign w:val="center"/>
          </w:tcPr>
          <w:p>
            <w:r>
              <w:rPr>
                <w:color w:val="000000"/>
                <w:sz w:val="16"/>
                <w:szCs w:val="16"/>
              </w:rPr>
              <w:t xml:space="preserve">Non-overlapping chunks of 200</w:t>
            </w:r>
          </w:p>
        </w:tc>
        <w:tc>
          <w:tcPr>
            <w:tcW w:w="1196" w:type="pct"/>
            <w:tcMar>
              <w:top w:w="10" w:type="dxa"/>
              <w:left w:w="20" w:type="dxa"/>
              <w:bottom w:w="10" w:type="dxa"/>
              <w:right w:w="20" w:type="dxa"/>
            </w:tcMar>
            <w:vAlign w:val="center"/>
          </w:tcPr>
          <w:p>
            <w:r>
              <w:rPr>
                <w:color w:val="000000"/>
                <w:sz w:val="16"/>
                <w:szCs w:val="16"/>
              </w:rPr>
              <w:t xml:space="preserve">Non-overlapping chunks of 200</w:t>
            </w:r>
          </w:p>
        </w:tc>
        <w:tc>
          <w:tcPr>
            <w:tcW w:w="1412" w:type="pct"/>
            <w:tcMar>
              <w:top w:w="10" w:type="dxa"/>
              <w:left w:w="20" w:type="dxa"/>
              <w:bottom w:w="10" w:type="dxa"/>
              <w:right w:w="20" w:type="dxa"/>
            </w:tcMar>
            <w:vAlign w:val="center"/>
          </w:tcPr>
          <w:p>
            <w:r>
              <w:rPr>
                <w:color w:val="000000"/>
                <w:sz w:val="16"/>
                <w:szCs w:val="16"/>
              </w:rPr>
              <w:t xml:space="preserve">Non-overlapping chunks of 200</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Split rule</w:t>
            </w:r>
          </w:p>
        </w:tc>
        <w:tc>
          <w:tcPr>
            <w:tcW w:w="1246" w:type="pct"/>
            <w:tcMar>
              <w:top w:w="10" w:type="dxa"/>
              <w:left w:w="20" w:type="dxa"/>
              <w:bottom w:w="10" w:type="dxa"/>
              <w:right w:w="20" w:type="dxa"/>
            </w:tcMar>
            <w:vAlign w:val="center"/>
          </w:tcPr>
          <w:p>
            <w:r>
              <w:rPr>
                <w:color w:val="000000"/>
                <w:sz w:val="16"/>
                <w:szCs w:val="16"/>
              </w:rPr>
              <w:t xml:space="preserve">Learner-disjoint; 20% test users</w:t>
            </w:r>
          </w:p>
        </w:tc>
        <w:tc>
          <w:tcPr>
            <w:tcW w:w="1196" w:type="pct"/>
            <w:tcMar>
              <w:top w:w="10" w:type="dxa"/>
              <w:left w:w="20" w:type="dxa"/>
              <w:bottom w:w="10" w:type="dxa"/>
              <w:right w:w="20" w:type="dxa"/>
            </w:tcMar>
            <w:vAlign w:val="center"/>
          </w:tcPr>
          <w:p>
            <w:r>
              <w:rPr>
                <w:color w:val="000000"/>
                <w:sz w:val="16"/>
                <w:szCs w:val="16"/>
              </w:rPr>
              <w:t xml:space="preserve">Same learner split</w:t>
            </w:r>
          </w:p>
        </w:tc>
        <w:tc>
          <w:tcPr>
            <w:tcW w:w="1412" w:type="pct"/>
            <w:tcMar>
              <w:top w:w="10" w:type="dxa"/>
              <w:left w:w="20" w:type="dxa"/>
              <w:bottom w:w="10" w:type="dxa"/>
              <w:right w:w="20" w:type="dxa"/>
            </w:tcMar>
            <w:vAlign w:val="center"/>
          </w:tcPr>
          <w:p>
            <w:r>
              <w:rPr>
                <w:color w:val="000000"/>
                <w:sz w:val="16"/>
                <w:szCs w:val="16"/>
              </w:rPr>
              <w:t xml:space="preserve">Same learner split</w:t>
            </w:r>
          </w:p>
        </w:tc>
      </w:tr>
      <w:tr w:rsidR="003E6F92">
        <w:trPr>
          <w:cantSplit/>
          <w:jc w:val="center"/>
        </w:trPr>
        <w:tc>
          <w:tcPr>
            <w:tcW w:w="1146" w:type="pct"/>
            <w:tcMar>
              <w:top w:w="10" w:type="dxa"/>
              <w:left w:w="20" w:type="dxa"/>
              <w:bottom w:w="10" w:type="dxa"/>
              <w:right w:w="20" w:type="dxa"/>
            </w:tcMar>
            <w:vAlign w:val="center"/>
          </w:tcPr>
          <w:p>
            <w:r>
              <w:rPr>
                <w:color w:val="000000"/>
                <w:sz w:val="16"/>
                <w:szCs w:val="16"/>
              </w:rPr>
              <w:t xml:space="preserve">Provenance</w:t>
            </w:r>
          </w:p>
        </w:tc>
        <w:tc>
          <w:tcPr>
            <w:tcW w:w="1246" w:type="pct"/>
            <w:tcMar>
              <w:top w:w="10" w:type="dxa"/>
              <w:left w:w="20" w:type="dxa"/>
              <w:bottom w:w="10" w:type="dxa"/>
              <w:right w:w="20" w:type="dxa"/>
            </w:tcMar>
            <w:vAlign w:val="center"/>
          </w:tcPr>
          <w:p>
            <w:r>
              <w:rPr>
                <w:color w:val="000000"/>
                <w:sz w:val="16"/>
                <w:szCs w:val="16"/>
              </w:rPr>
              <w:t xml:space="preserve">Commit 4ff6683; baseline_runner.py</w:t>
            </w:r>
          </w:p>
        </w:tc>
        <w:tc>
          <w:tcPr>
            <w:tcW w:w="1196" w:type="pct"/>
            <w:tcMar>
              <w:top w:w="10" w:type="dxa"/>
              <w:left w:w="20" w:type="dxa"/>
              <w:bottom w:w="10" w:type="dxa"/>
              <w:right w:w="20" w:type="dxa"/>
            </w:tcMar>
            <w:vAlign w:val="center"/>
          </w:tcPr>
          <w:p>
            <w:r>
              <w:rPr>
                <w:color w:val="000000"/>
                <w:sz w:val="16"/>
                <w:szCs w:val="16"/>
              </w:rPr>
              <w:t xml:space="preserve">Commit 4ff6683; protocol_v2.py</w:t>
            </w:r>
          </w:p>
        </w:tc>
        <w:tc>
          <w:tcPr>
            <w:tcW w:w="1412" w:type="pct"/>
            <w:tcMar>
              <w:top w:w="10" w:type="dxa"/>
              <w:left w:w="20" w:type="dxa"/>
              <w:bottom w:w="10" w:type="dxa"/>
              <w:right w:w="20" w:type="dxa"/>
            </w:tcMar>
            <w:vAlign w:val="center"/>
          </w:tcPr>
          <w:p>
            <w:r>
              <w:rPr>
                <w:color w:val="000000"/>
                <w:sz w:val="16"/>
                <w:szCs w:val="16"/>
              </w:rPr>
              <w:t xml:space="preserve">Commit 4ff6683; p0_retrain_official_simplekt.py</w:t>
            </w:r>
          </w:p>
        </w:tc>
      </w:tr>
    </w:tbl>
    <w:p w:rsidR="00332BC5" w:rsidRDefault="008F3D6E"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r>
        <w:rPr>
          <w:i/>
        </w:rPr>
        <w:t>y</w:t>
      </w:r>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r>
        <w:rPr>
          <w:i/>
        </w:rPr>
        <w:t>D</w:t>
      </w:r>
      <w:r>
        <w:rPr>
          <w:vertAlign w:val="subscript"/>
        </w:rPr>
        <w:t>test</w:t>
      </w:r>
      <w:r>
        <w:t xml:space="preserve"> :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r>
        <w:t xml:space="preserve">and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Insufficient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r>
        <w:t xml:space="preserve">where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r>
        <w:t>)</w:t>
      </w:r>
      <w:r>
        <w:rPr>
          <w:vertAlign w:val="superscript"/>
        </w:rPr>
        <w:t>2</w:t>
      </w:r>
      <w:r>
        <w:tab/>
        <w:t>(3)</w:t>
      </w:r>
    </w:p>
    <w:p w:rsidR="00C62791" w:rsidRDefault="00AA3681" w:rsidP="00607E6B">
      <w:pPr>
        <w:pStyle w:val="Text"/>
        <w:spacing w:line="252" w:lineRule="exact"/>
        <w:ind w:firstLine="0"/>
      </w:pPr>
      <w:r>
        <w:t>and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r>
        <w:rPr>
          <w:color w:val="auto"/>
        </w:rPr>
        <w:t xml:space="preserve">with uncertainty UNC = </w:t>
      </w:r>
      <w:r>
        <w:rPr>
          <w:i/>
        </w:rPr>
        <w:t>ȳ</w:t>
      </w:r>
      <w:r>
        <w:t xml:space="preserve">(1 − </w:t>
      </w:r>
      <w:r>
        <w:rPr>
          <w:i/>
        </w:rPr>
        <w:t>ȳ</w:t>
      </w:r>
      <w:r>
        <w:rPr>
          <w:color w:val="auto"/>
        </w:rPr>
        <w:t>), resolution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rPr>
          <w:color w:val="auto"/>
        </w:rPr>
        <w:t>, and reliability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r>
        <w:t xml:space="preserve">where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bound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t>E[ECE]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0</w:t>
      </w:r>
      <w:r>
        <w:t>(</w:t>
      </w:r>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r>
        <w:t xml:space="preserve">is positive only if the sparse–dense difference exceeds </w:t>
      </w:r>
      <w:r>
        <w:rPr>
          <w:color w:val="auto"/>
        </w:rPr>
        <w:t>this</w:t>
      </w:r>
      <w:r>
        <w:t xml:space="preserve"> upper bound on expected small-sample bias. ECE0 </w:t>
      </w:r>
      <w:r>
        <w:rPr>
          <w:color w:val="auto"/>
        </w:rPr>
        <w:t>is</w:t>
      </w:r>
      <w:r>
        <w:t xml:space="preserve"> </w:t>
      </w:r>
      <w:r>
        <w:rPr>
          <w:color w:val="auto"/>
        </w:rPr>
        <w:t>computed</w:t>
      </w:r>
      <w:r>
        <w:t xml:space="preserve"> </w:t>
      </w:r>
      <w:r>
        <w:rPr>
          <w:color w:val="auto"/>
        </w:rPr>
        <w:t>from</w:t>
      </w:r>
      <w:r>
        <w:t xml:space="preserve"> </w:t>
      </w:r>
      <w:r>
        <w:rPr>
          <w:color w:val="auto"/>
        </w:rPr>
        <w:t>the</w:t>
      </w:r>
      <w:r>
        <w:t xml:space="preserve"> </w:t>
      </w:r>
      <w:r>
        <w:rPr>
          <w:color w:val="auto"/>
        </w:rPr>
        <w:t>focal</w:t>
      </w:r>
      <w:r>
        <w:t xml:space="preserve"> </w:t>
      </w:r>
      <w:r>
        <w:rPr>
          <w:color w:val="auto"/>
        </w:rPr>
        <w:t>N</w:t>
      </w:r>
      <w:r>
        <w:t xml:space="preserve"> </w:t>
      </w:r>
      <w:r>
        <w:rPr>
          <w:color w:val="auto"/>
        </w:rPr>
        <w:t>of</w:t>
      </w:r>
      <w:r>
        <w:t xml:space="preserve"> </w:t>
      </w:r>
      <w:r>
        <w:rPr>
          <w:color w:val="auto"/>
        </w:rPr>
        <w:t>that</w:t>
      </w:r>
      <w:r>
        <w:t xml:space="preserve"> </w:t>
      </w:r>
      <w:r>
        <w:rPr>
          <w:color w:val="auto"/>
        </w:rPr>
        <w:t>partition.</w:t>
      </w:r>
      <w:r>
        <w:t xml:space="preserve"> </w:t>
      </w:r>
      <w:r>
        <w:rPr>
          <w:color w:val="auto"/>
        </w:rPr>
        <w:t>Fold</w:t>
      </w:r>
      <w:r>
        <w:t xml:space="preserve"> </w:t>
      </w:r>
      <w:r>
        <w:rPr>
          <w:color w:val="auto"/>
        </w:rPr>
        <w:t>2</w:t>
      </w:r>
      <w:r>
        <w:t xml:space="preserve"> </w:t>
      </w:r>
      <w:r>
        <w:rPr>
          <w:color w:val="auto"/>
        </w:rPr>
        <w:t>and</w:t>
      </w:r>
      <w:r>
        <w:t xml:space="preserve"> </w:t>
      </w:r>
      <w:r>
        <w:rPr>
          <w:color w:val="auto"/>
        </w:rPr>
        <w:t>fold</w:t>
      </w:r>
      <w:r>
        <w:t xml:space="preserve"> </w:t>
      </w:r>
      <w:r>
        <w:rPr>
          <w:color w:val="auto"/>
        </w:rPr>
        <w:t>3</w:t>
      </w:r>
      <w:r>
        <w:t xml:space="preserve"> </w:t>
      </w:r>
      <w:r>
        <w:rPr>
          <w:color w:val="auto"/>
        </w:rPr>
        <w:t>are</w:t>
      </w:r>
      <w:r>
        <w:t xml:space="preserve"> </w:t>
      </w:r>
      <w:r>
        <w:rPr>
          <w:color w:val="auto"/>
        </w:rPr>
        <w:t>averaged</w:t>
      </w:r>
      <w:r>
        <w:t xml:space="preserve"> </w:t>
      </w:r>
      <w:r>
        <w:rPr>
          <w:color w:val="auto"/>
        </w:rPr>
        <w:t>first,</w:t>
      </w:r>
      <w:r>
        <w:t xml:space="preserve"> </w:t>
      </w:r>
      <w:r>
        <w:rPr>
          <w:color w:val="auto"/>
        </w:rPr>
        <w:t>and</w:t>
      </w:r>
      <w:r>
        <w:t xml:space="preserve"> </w:t>
      </w:r>
      <w:r>
        <w:rPr>
          <w:color w:val="auto"/>
        </w:rPr>
        <w:t>the</w:t>
      </w:r>
      <w:r>
        <w:t xml:space="preserve"> </w:t>
      </w:r>
      <w:r>
        <w:rPr>
          <w:color w:val="auto"/>
        </w:rPr>
        <w:t>reported</w:t>
      </w:r>
      <w:r>
        <w:t xml:space="preserve"> </w:t>
      </w:r>
      <w:r>
        <w:rPr>
          <w:color w:val="auto"/>
        </w:rPr>
        <w:t>ΔECE*</w:t>
      </w:r>
      <w:r>
        <w:t xml:space="preserve"> </w:t>
      </w:r>
      <w:r>
        <w:rPr>
          <w:color w:val="auto"/>
        </w:rPr>
        <w:t>is</w:t>
      </w:r>
      <w:r>
        <w:t xml:space="preserve"> the mean </w:t>
      </w:r>
      <w:r>
        <w:rPr>
          <w:color w:val="auto"/>
        </w:rPr>
        <w:t>of</w:t>
      </w:r>
      <w:r>
        <w:t xml:space="preserve"> </w:t>
      </w:r>
      <w:r>
        <w:rPr>
          <w:color w:val="auto"/>
        </w:rPr>
        <w:t>the</w:t>
      </w:r>
      <w:r>
        <w:t xml:space="preserve"> </w:t>
      </w:r>
      <w:r>
        <w:rPr>
          <w:color w:val="auto"/>
        </w:rPr>
        <w:t>four</w:t>
      </w:r>
      <w:r>
        <w:t xml:space="preserve"> </w:t>
      </w:r>
      <w:r>
        <w:rPr>
          <w:color w:val="auto"/>
        </w:rPr>
        <w:t>unique</w:t>
      </w:r>
      <w:r>
        <w:t xml:space="preserve"> </w:t>
      </w:r>
      <w:r>
        <w:rPr>
          <w:color w:val="auto"/>
        </w:rPr>
        <w:t>partitions.</w:t>
      </w:r>
      <w:r>
        <w:t xml:space="preserve"> </w:t>
      </w:r>
      <w:r>
        <w:rPr>
          <w:color w:val="auto"/>
        </w:rPr>
        <w:t>It</w:t>
      </w:r>
      <w:r>
        <w:t xml:space="preserve"> </w:t>
      </w:r>
      <w:r>
        <w:rPr>
          <w:color w:val="auto"/>
        </w:rPr>
        <w:t>is</w:t>
      </w:r>
      <w:r>
        <w:t xml:space="preserve"> </w:t>
      </w:r>
      <w:r>
        <w:rPr>
          <w:color w:val="auto"/>
        </w:rPr>
        <w:t>not</w:t>
      </w:r>
      <w:r>
        <w:t xml:space="preserve"> </w:t>
      </w:r>
      <w:r>
        <w:rPr>
          <w:color w:val="auto"/>
        </w:rPr>
        <w:t>the</w:t>
      </w:r>
      <w:r>
        <w:t xml:space="preserve"> </w:t>
      </w:r>
      <w:r>
        <w:rPr>
          <w:color w:val="auto"/>
        </w:rPr>
        <w:t>result</w:t>
      </w:r>
      <w:r>
        <w:t xml:space="preserve"> </w:t>
      </w:r>
      <w:r>
        <w:rPr>
          <w:color w:val="auto"/>
        </w:rPr>
        <w:t>of</w:t>
      </w:r>
      <w:r>
        <w:t xml:space="preserve"> </w:t>
      </w:r>
      <w:r>
        <w:rPr>
          <w:color w:val="auto"/>
        </w:rPr>
        <w:t>subtracting</w:t>
      </w:r>
      <w:r>
        <w:t xml:space="preserve"> </w:t>
      </w:r>
      <w:r>
        <w:rPr>
          <w:color w:val="auto"/>
        </w:rPr>
        <w:t>ECE0</w:t>
      </w:r>
      <w:r>
        <w:t xml:space="preserve"> </w:t>
      </w:r>
      <w:r>
        <w:rPr>
          <w:color w:val="auto"/>
        </w:rPr>
        <w:t>once</w:t>
      </w:r>
      <w:r>
        <w:t xml:space="preserve"> </w:t>
      </w:r>
      <w:r>
        <w:rPr>
          <w:color w:val="auto"/>
        </w:rPr>
        <w:t>from</w:t>
      </w:r>
      <w:r>
        <w:t xml:space="preserve"> </w:t>
      </w:r>
      <w:r>
        <w:rPr>
          <w:color w:val="auto"/>
        </w:rPr>
        <w:t>the</w:t>
      </w:r>
      <w:r>
        <w:t xml:space="preserve"> </w:t>
      </w:r>
      <w:r>
        <w:rPr>
          <w:color w:val="auto"/>
        </w:rPr>
        <w:t>mean</w:t>
      </w:r>
      <w:r>
        <w:t xml:space="preserve"> </w:t>
      </w:r>
      <w:r>
        <w:rPr>
          <w:color w:val="auto"/>
        </w:rPr>
        <w:t>ΔECE.</w:t>
      </w:r>
      <w:r>
        <w:t xml:space="preserve"> ΔECE* is </w:t>
      </w:r>
      <w:r>
        <w:rPr>
          <w:color w:val="auto"/>
        </w:rPr>
        <w:t>not</w:t>
      </w:r>
      <w:r>
        <w:t xml:space="preserve"> a confidence interval, </w:t>
      </w:r>
      <w:r>
        <w:rPr>
          <w:color w:val="auto"/>
        </w:rPr>
        <w:t>not</w:t>
      </w:r>
      <w:r>
        <w:t xml:space="preserve"> </w:t>
      </w:r>
      <w:r>
        <w:rPr>
          <w:color w:val="auto"/>
        </w:rPr>
        <w:t>a</w:t>
      </w:r>
      <w:r>
        <w:t xml:space="preserve"> </w:t>
      </w:r>
      <w:r>
        <w:rPr>
          <w:color w:val="auto"/>
        </w:rPr>
        <w:t>hypothesis</w:t>
      </w:r>
      <w:r>
        <w:t xml:space="preserve"> </w:t>
      </w:r>
      <w:r>
        <w:rPr>
          <w:color w:val="auto"/>
        </w:rPr>
        <w:t>test,</w:t>
      </w:r>
      <w:r>
        <w:t xml:space="preserve"> and </w:t>
      </w:r>
      <w:r>
        <w:rPr>
          <w:color w:val="auto"/>
        </w:rPr>
        <w:t>not</w:t>
      </w:r>
      <w:r>
        <w:t xml:space="preserve"> </w:t>
      </w:r>
      <w:r>
        <w:rPr>
          <w:color w:val="auto"/>
        </w:rPr>
        <w:t>a</w:t>
      </w:r>
      <w:r>
        <w:t xml:space="preserve"> </w:t>
      </w:r>
      <w:r>
        <w:rPr>
          <w:color w:val="auto"/>
        </w:rPr>
        <w:t>p-value.</w:t>
      </w:r>
      <w:r>
        <w:t xml:space="preserve"> </w:t>
      </w:r>
      <w:r>
        <w:rPr>
          <w:color w:val="auto"/>
        </w:rPr>
        <w:t>The</w:t>
      </w:r>
      <w:r>
        <w:t xml:space="preserve"> </w:t>
      </w:r>
      <w:r>
        <w:rPr>
          <w:color w:val="auto"/>
        </w:rPr>
        <w:t>size-matched</w:t>
      </w:r>
      <w:r>
        <w:t xml:space="preserve"> </w:t>
      </w:r>
      <w:r>
        <w:rPr>
          <w:color w:val="auto"/>
        </w:rPr>
        <w:t>gap,</w:t>
      </w:r>
      <w:r>
        <w:t xml:space="preserve"> </w:t>
      </w:r>
      <w:r>
        <w:rPr>
          <w:color w:val="auto"/>
        </w:rPr>
        <w:t>and</w:t>
      </w:r>
      <w:r>
        <w:t xml:space="preserve"> the </w:t>
      </w:r>
      <w:r>
        <w:rPr>
          <w:color w:val="auto"/>
        </w:rPr>
        <w:t>learner-cluster</w:t>
      </w:r>
      <w:r>
        <w:t xml:space="preserve"> </w:t>
      </w:r>
      <w:r>
        <w:rPr>
          <w:color w:val="auto"/>
        </w:rPr>
        <w:t>interval</w:t>
      </w:r>
      <w:r>
        <w:t xml:space="preserve"> </w:t>
      </w:r>
      <w:r>
        <w:rPr>
          <w:color w:val="auto"/>
        </w:rPr>
        <w:t>computed</w:t>
      </w:r>
      <w:r>
        <w:t xml:space="preserve"> </w:t>
      </w:r>
      <w:r>
        <w:rPr>
          <w:color w:val="auto"/>
        </w:rPr>
        <w:t>on</w:t>
      </w:r>
      <w:r>
        <w:t xml:space="preserve"> </w:t>
      </w:r>
      <w:r>
        <w:rPr>
          <w:color w:val="auto"/>
        </w:rPr>
        <w:t>fold</w:t>
      </w:r>
      <w:r>
        <w:t xml:space="preserve"> </w:t>
      </w:r>
      <w:r>
        <w:rPr>
          <w:color w:val="auto"/>
        </w:rPr>
        <w:t>0</w:t>
      </w:r>
      <w:r>
        <w:t xml:space="preserve"> </w:t>
      </w:r>
      <w:r>
        <w:rPr>
          <w:color w:val="auto"/>
        </w:rPr>
        <w:t>only,</w:t>
      </w:r>
      <w:r>
        <w:t xml:space="preserve"> </w:t>
      </w:r>
      <w:r>
        <w:rPr>
          <w:color w:val="auto"/>
        </w:rPr>
        <w:t>are</w:t>
      </w:r>
      <w:r>
        <w:t xml:space="preserve"> </w:t>
      </w:r>
      <w:r>
        <w:rPr>
          <w:color w:val="auto"/>
        </w:rPr>
        <w:t>different</w:t>
      </w:r>
      <w:r>
        <w:t xml:space="preserve"> </w:t>
      </w:r>
      <w:r>
        <w:rPr>
          <w:color w:val="auto"/>
        </w:rPr>
        <w:t>quantities.</w:t>
      </w:r>
      <w:r>
        <w:rPr>
          <w:vertAlign w:val="subscript"/>
        </w:rPr>
      </w:r>
      <w:r/>
      <w:r>
        <w:rPr>
          <w:i/>
        </w:rPr>
      </w:r>
      <w:r/>
    </w:p>
    <w:p>
      <w:pPr>
        <w:pStyle w:val="Text"/>
        <w:spacing w:line="252" w:lineRule="exact"/>
      </w:pPr>
      <w:r>
        <w:t xml:space="preserve">The size-matched gap is computed on rows with a nonempty test history. Sparse rows belong to KCs with training frequency 20 ≤ ftrain &lt; 100, and dense rows belong to KCs with ftrain ≥ 500. On one partition, </w:t>
      </w:r>
      <w:r>
        <w:t xml:space="preserve">N</w:t>
      </w:r>
      <w:r>
        <w:rPr>
          <w:vertAlign w:val="subscript"/>
          <w:color w:val="auto"/>
        </w:rPr>
        <w:t xml:space="preserve">sparse</w:t>
      </w:r>
      <w:r>
        <w:t xml:space="preserve"> is the number of sparse rows and </w:t>
      </w:r>
      <w:r>
        <w:t xml:space="preserve">ECE</w:t>
      </w:r>
      <w:r>
        <w:rPr>
          <w:vertAlign w:val="subscript"/>
          <w:color w:val="auto"/>
        </w:rPr>
        <w:t xml:space="preserve">sparse</w:t>
      </w:r>
      <w:r>
        <w:t xml:space="preserve"> is their ECE under (2). The dense reference uses the learners who have at least one dense row in that same row set, in order of first appearance in the scored predictions. Draw r permutes those learners without replacement and appends their dense rows until the concatenated length is at least </w:t>
      </w:r>
      <w:r>
        <w:t xml:space="preserve">N</w:t>
      </w:r>
      <w:r>
        <w:rPr>
          <w:vertAlign w:val="subscript"/>
          <w:color w:val="auto"/>
        </w:rPr>
        <w:t xml:space="preserve">sparse</w:t>
      </w:r>
      <w:r>
        <w:t xml:space="preserve">. A draw with fewer than </w:t>
      </w:r>
      <w:r>
        <w:t xml:space="preserve">N</w:t>
      </w:r>
      <w:r>
        <w:rPr>
          <w:vertAlign w:val="subscript"/>
          <w:color w:val="auto"/>
        </w:rPr>
        <w:t xml:space="preserve">sparse</w:t>
      </w:r>
      <w:r>
        <w:t xml:space="preserve"> dense rows is invalid and is omitted from the median. Otherwise a second sample, also without replacement, retains exactly </w:t>
      </w:r>
      <w:r>
        <w:t xml:space="preserve">N</w:t>
      </w:r>
      <w:r>
        <w:rPr>
          <w:vertAlign w:val="subscript"/>
          <w:color w:val="auto"/>
        </w:rPr>
        <w:t xml:space="preserve">sparse</w:t>
      </w:r>
      <w:r>
        <w:t xml:space="preserve"> rows, so a learner whose rows cross </w:t>
      </w:r>
      <w:r>
        <w:t xml:space="preserve">N</w:t>
      </w:r>
      <w:r>
        <w:rPr>
          <w:vertAlign w:val="subscript"/>
          <w:color w:val="auto"/>
        </w:rPr>
        <w:t xml:space="preserve">sparse</w:t>
      </w:r>
      <w:r>
        <w:t xml:space="preserve"> need not contribute every row. The ECE of those retained rows, again under (2), is (8). The point estimate uses R = 2000 draws. In the published fold-0 run, all 2000 draws were valid. The first of the 15 equal-width bins in (2) contains predicted probabilities on [0, 1/15]; each later bin contains probabilities on (left, right].</w:t>
      </w:r>
    </w:p>
    <w:p>
      <w:pPr>
        <w:pStyle w:val="equation0"/>
        <w:tabs>
          <w:tab w:val="clear" w:pos="2520"/>
          <w:tab w:val="clear" w:pos="5040"/>
          <w:tab w:val="center" w:pos="2436"/>
          <w:tab w:val="right" w:pos="4873"/>
        </w:tabs>
      </w:pPr>
      <w:r>
        <w:t>	</w:t>
      </w:r>
      <w:r>
        <w:t>ECE</w:t>
      </w:r>
      <w:r>
        <w:rPr>
          <w:vertAlign w:val="subscript"/>
        </w:rPr>
        <w:t>dense,r</w:t>
      </w:r>
      <w:r>
        <w:t>@N</w:t>
      </w:r>
      <w:r>
        <w:rPr>
          <w:vertAlign w:val="subscript"/>
        </w:rPr>
        <w:t>sparse</w:t>
      </w:r>
      <w:r>
        <w:t xml:space="preserve"> = ECE(y</w:t>
      </w:r>
      <w:r>
        <w:rPr>
          <w:vertAlign w:val="superscript"/>
        </w:rPr>
        <w:t>(r)</w:t>
      </w:r>
      <w:r>
        <w:t>, p</w:t>
      </w:r>
      <w:r>
        <w:rPr>
          <w:vertAlign w:val="superscript"/>
        </w:rPr>
        <w:t>(r)</w:t>
      </w:r>
      <w:r>
        <w:t>)</w:t>
      </w:r>
      <w:r>
        <w:t>	</w:t>
      </w:r>
      <w:r>
        <w:t>(8)</w:t>
      </w:r>
    </w:p>
    <w:p>
      <w:pPr>
        <w:pStyle w:val="equation0"/>
        <w:tabs>
          <w:tab w:val="clear" w:pos="2520"/>
          <w:tab w:val="clear" w:pos="5040"/>
          <w:tab w:val="center" w:pos="2436"/>
          <w:tab w:val="right" w:pos="4873"/>
        </w:tabs>
      </w:pPr>
      <w:r>
        <w:t>	</w:t>
      </w:r>
      <w:r>
        <w:t>G = ECE</w:t>
      </w:r>
      <w:r>
        <w:rPr>
          <w:vertAlign w:val="subscript"/>
        </w:rPr>
        <w:t>sparse</w:t>
      </w:r>
      <w:r>
        <w:t xml:space="preserve"> − median</w:t>
      </w:r>
      <w:r>
        <w:rPr>
          <w:vertAlign w:val="subscript"/>
        </w:rPr>
        <w:t>r</w:t>
      </w:r>
      <w:r>
        <w:t>(ECE</w:t>
      </w:r>
      <w:r>
        <w:rPr>
          <w:vertAlign w:val="subscript"/>
        </w:rPr>
        <w:t>dense,r</w:t>
      </w:r>
      <w:r>
        <w:t>@N</w:t>
      </w:r>
      <w:r>
        <w:rPr>
          <w:vertAlign w:val="subscript"/>
        </w:rPr>
        <w:t>sparse</w:t>
      </w:r>
      <w:r>
        <w:t>)</w:t>
      </w:r>
      <w:r>
        <w:t>	</w:t>
      </w:r>
      <w:r>
        <w:t>(9)</w:t>
      </w:r>
    </w:p>
    <w:p>
      <w:pPr>
        <w:pStyle w:val="Text"/>
        <w:spacing w:line="252" w:lineRule="exact"/>
      </w:pPr>
      <w:r>
        <w:t>Matching equalizes sample size only. It does not equalize ECE bin occupancy, the predicted-probability distribution, or the dependence structure.</w:t>
      </w:r>
    </w:p>
    <w:p>
      <w:pPr>
        <w:pStyle w:val="Text"/>
        <w:spacing w:line="252" w:lineRule="exact"/>
      </w:pPr>
      <w:r>
        <w:rPr>
          <w:color w:val="auto"/>
        </w:rPr>
        <w:t xml:space="preserve">The 95% interval is the fold-0 learner-cluster bootstrap. The seed 20261021 starts a NumPy Generator, and fold 0 is the first partition, so the seed is the start of the stream. That generator is then used in three stages. Stage 1 is the R = 2000 draws that define G. Each draw calls permutation on the dense learners, then choice of exactly </w:t>
      </w:r>
      <w:r>
        <w:rPr>
          <w:color w:val="auto"/>
        </w:rPr>
        <w:t xml:space="preserve">N</w:t>
      </w:r>
      <w:r>
        <w:rPr>
          <w:color w:val="auto"/>
          <w:vertAlign w:val="subscript"/>
        </w:rPr>
        <w:t xml:space="preserve">sparse</w:t>
      </w:r>
      <w:r>
        <w:rPr>
          <w:color w:val="auto"/>
        </w:rPr>
        <w:t xml:space="preserve"> rows with replace=False. Stage 2 calls choice 2000 times, with replace=False, to take exactly </w:t>
      </w:r>
      <w:r>
        <w:rPr>
          <w:color w:val="auto"/>
        </w:rPr>
        <w:t xml:space="preserve">N</w:t>
      </w:r>
      <w:r>
        <w:rPr>
          <w:color w:val="auto"/>
          <w:vertAlign w:val="subscript"/>
        </w:rPr>
        <w:t xml:space="preserve">sparse</w:t>
      </w:r>
      <w:r>
        <w:rPr>
          <w:color w:val="auto"/>
        </w:rPr>
        <w:t xml:space="preserve"> rows from the pooled dense rows in prediction-file order. Stage 2 does not enter G or the interval. A replay of the interval still runs stage 2, because those calls advance the generator. Stage 3 draws B = 2000 resamples. Each resample calls integers to draw as many learner indices as there are test learners with a nonempty history, on the half-open range from 0 to that count. An index that occurs more than once is stored as a separate cluster, and the sparse and dense rows are rebuilt from the copies. A replicate with no sparse rows is counted, left out of the percentiles, and left without an imputed gap. A replicate whose dense rows are all empty is left out in the same way. The published fold-0 run had 0 empty sparse replicates and 0 other invalid replicates, so the percentiles use all 2000 values. For each valid replicate the parent generator calls integers once on the half-open interval [0, 2^31 - 1), and that integer seeds the inner generator. The inner generator repeats the stage-1 draw 200 times, and the replicate stores its own G. The interval is the 2.5th and 97.5th percentiles of those values under NumPy’s linear percentile. As a supplementary analysis, the same procedure was applied to fold 1, folds 2–3, and fold 4, with a generator seeded [20261021, f] for the first fold f of each partition; for folds 2–3, each replicate resamples the shared learners once, computes G on both runs with separate inner seeds, and stores their mean (Table A5).</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rPr>
          <w:color w:val="auto"/>
        </w:rPr>
        <w:t xml:space="preserve">Table 3 reports the outcomes for the four learner-based partitions: checks L1–L7 passed in every partition. The archived audit computes L1, L4, and L7 from the split files of each partition; L2, L3, L5, and L6 are properties of the pipeline code (fitted values use training rows only, the KC map is static, no calibration map is fitted, checkpoints are selected on validation data) and were recorded from the code, not recomputed per partition.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3. Leakage checks over the four learner-based partitions (L1–L7 numbered as in the archived audit records).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3E6F92">
        <w:trPr>
          <w:cantSplit/>
          <w:tblHeader/>
          <w:jc w:val="center"/>
        </w:trPr>
        <w:tc>
          <w:tcPr>
            <w:tcW w:w="947" w:type="pct"/>
            <w:tcMar>
              <w:top w:w="10" w:type="dxa"/>
              <w:left w:w="20" w:type="dxa"/>
              <w:bottom w:w="10" w:type="dxa"/>
              <w:right w:w="20" w:type="dxa"/>
            </w:tcMar>
            <w:vAlign w:val="center"/>
          </w:tcPr>
          <w:p w:rsidR="003E6F92" w:rsidRDefault="00B0150D">
            <w:pPr>
              <w:keepNext/>
              <w:jc w:val="center"/>
              <w:rPr>
                <w:b/>
                <w:sz w:val="16"/>
              </w:rPr>
            </w:pPr>
            <w:r>
              <w:rPr>
                <w:b/>
                <w:sz w:val="16"/>
              </w:rPr>
              <w:t>Check</w:t>
            </w:r>
          </w:p>
        </w:tc>
        <w:tc>
          <w:tcPr>
            <w:tcW w:w="1619" w:type="pct"/>
            <w:tcMar>
              <w:top w:w="10" w:type="dxa"/>
              <w:left w:w="20" w:type="dxa"/>
              <w:bottom w:w="10" w:type="dxa"/>
              <w:right w:w="20" w:type="dxa"/>
            </w:tcMar>
            <w:vAlign w:val="center"/>
          </w:tcPr>
          <w:p w:rsidR="003E6F92" w:rsidRDefault="00B0150D">
            <w:pPr>
              <w:keepNext/>
              <w:jc w:val="center"/>
              <w:rPr>
                <w:b/>
                <w:sz w:val="16"/>
              </w:rPr>
            </w:pPr>
            <w:r>
              <w:rPr>
                <w:b/>
                <w:sz w:val="16"/>
              </w:rPr>
              <w:t>Condition</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ASSISTments 2012</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Junyi Academy</w:t>
            </w:r>
          </w:p>
        </w:tc>
        <w:tc>
          <w:tcPr>
            <w:tcW w:w="740" w:type="pct"/>
            <w:tcMar>
              <w:top w:w="10" w:type="dxa"/>
              <w:left w:w="20" w:type="dxa"/>
              <w:bottom w:w="10" w:type="dxa"/>
              <w:right w:w="20" w:type="dxa"/>
            </w:tcMar>
            <w:vAlign w:val="center"/>
          </w:tcPr>
          <w:p w:rsidR="003E6F92" w:rsidRDefault="00B0150D">
            <w:pPr>
              <w:keepNext/>
              <w:jc w:val="center"/>
              <w:rPr>
                <w:b/>
                <w:sz w:val="16"/>
              </w:rPr>
            </w:pPr>
            <w:r>
              <w:rPr>
                <w:b/>
                <w:sz w:val="16"/>
              </w:rPr>
              <w:t>XES3G5M</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L1 Split</w:t>
            </w:r>
          </w:p>
        </w:tc>
        <w:tc>
          <w:tcPr>
            <w:tcW w:w="1619" w:type="pct"/>
            <w:tcMar>
              <w:top w:w="10" w:type="dxa"/>
              <w:left w:w="20" w:type="dxa"/>
              <w:bottom w:w="10" w:type="dxa"/>
              <w:right w:w="20" w:type="dxa"/>
            </w:tcMar>
            <w:vAlign w:val="center"/>
          </w:tcPr>
          <w:p w:rsidR="003E6F92" w:rsidRDefault="00B0150D">
            <w:pPr>
              <w:keepNext/>
              <w:rPr>
                <w:sz w:val="16"/>
              </w:rPr>
            </w:pPr>
            <w:r>
              <w:rPr>
                <w:sz w:val="16"/>
              </w:rPr>
              <w:t>Training, validation, and test learners disjoint</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L2 Preprocessing</w:t>
            </w:r>
          </w:p>
        </w:tc>
        <w:tc>
          <w:tcPr>
            <w:tcW w:w="1619" w:type="pct"/>
            <w:tcMar>
              <w:top w:w="10" w:type="dxa"/>
              <w:left w:w="20" w:type="dxa"/>
              <w:bottom w:w="10" w:type="dxa"/>
              <w:right w:w="20" w:type="dxa"/>
            </w:tcMar>
            <w:vAlign w:val="center"/>
          </w:tcPr>
          <w:p w:rsidR="003E6F92" w:rsidRDefault="00B0150D">
            <w:pPr>
              <w:keepNext/>
              <w:rPr>
                <w:sz w:val="16"/>
              </w:rPr>
            </w:pPr>
            <w:r>
              <w:rPr>
                <w:sz w:val="16"/>
              </w:rPr>
              <w:t>Fitted transforms use training rows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L3 KC map</w:t>
            </w:r>
          </w:p>
        </w:tc>
        <w:tc>
          <w:tcPr>
            <w:tcW w:w="1619" w:type="pct"/>
            <w:tcMar>
              <w:top w:w="10" w:type="dxa"/>
              <w:left w:w="20" w:type="dxa"/>
              <w:bottom w:w="10" w:type="dxa"/>
              <w:right w:w="20" w:type="dxa"/>
            </w:tcMar>
            <w:vAlign w:val="center"/>
          </w:tcPr>
          <w:p w:rsidR="003E6F92" w:rsidRDefault="00B0150D">
            <w:pPr>
              <w:keepNext/>
              <w:rPr>
                <w:sz w:val="16"/>
              </w:rPr>
            </w:pPr>
            <w:r>
              <w:rPr>
                <w:sz w:val="16"/>
              </w:rPr>
              <w:t>Static, platform-provided mapping</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L4 Frequency groups</w:t>
            </w:r>
          </w:p>
        </w:tc>
        <w:tc>
          <w:tcPr>
            <w:tcW w:w="1619" w:type="pct"/>
            <w:tcMar>
              <w:top w:w="10" w:type="dxa"/>
              <w:left w:w="20" w:type="dxa"/>
              <w:bottom w:w="10" w:type="dxa"/>
              <w:right w:w="20" w:type="dxa"/>
            </w:tcMar>
            <w:vAlign w:val="center"/>
          </w:tcPr>
          <w:p w:rsidR="003E6F92" w:rsidRDefault="00B0150D">
            <w:pPr>
              <w:keepNext/>
              <w:rPr>
                <w:sz w:val="16"/>
              </w:rPr>
            </w:pPr>
            <w:r>
              <w:rPr>
                <w:sz w:val="16"/>
              </w:rPr>
              <w:t>Cut points applied to training counts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(sparse group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L5 Calibration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calibration map fitted on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L6 Model selection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checkpoint or setting selected with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L7 Cold-start group</w:t>
            </w:r>
          </w:p>
        </w:tc>
        <w:tc>
          <w:tcPr>
            <w:tcW w:w="1619" w:type="pct"/>
            <w:tcMar>
              <w:top w:w="10" w:type="dxa"/>
              <w:left w:w="20" w:type="dxa"/>
              <w:bottom w:w="10" w:type="dxa"/>
              <w:right w:w="20" w:type="dxa"/>
            </w:tcMar>
            <w:vAlign w:val="center"/>
          </w:tcPr>
          <w:p w:rsidR="003E6F92" w:rsidRDefault="00B0150D">
            <w:pPr>
              <w:keepNext/>
              <w:rPr>
                <w:sz w:val="16"/>
              </w:rPr>
            </w:pPr>
            <w:r>
              <w:rPr>
                <w:i/>
                <w:sz w:val="16"/>
              </w:rPr>
              <w:t>f</w:t>
            </w:r>
            <w:r>
              <w:rPr>
                <w:sz w:val="16"/>
                <w:vertAlign w:val="subscript"/>
              </w:rPr>
              <w:t>train</w:t>
            </w:r>
            <w:r>
              <w:rPr>
                <w:sz w:val="16"/>
              </w:rPr>
              <w:t xml:space="preserve"> = 0, defined from training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 in 3 partitions, I in 1)</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 (I)</w:t>
            </w:r>
          </w:p>
        </w:tc>
      </w:tr>
      <w:tr w:rsidR="003E6F92">
        <w:trPr>
          <w:cantSplit/>
          <w:jc w:val="center"/>
        </w:trPr>
        <w:tc>
          <w:tcPr>
            <w:tcW w:w="947" w:type="pct"/>
            <w:tcMar>
              <w:top w:w="10" w:type="dxa"/>
              <w:left w:w="20" w:type="dxa"/>
              <w:bottom w:w="10" w:type="dxa"/>
              <w:right w:w="20" w:type="dxa"/>
            </w:tcMar>
            <w:vAlign w:val="center"/>
          </w:tcPr>
          <w:p w:rsidR="003E6F92" w:rsidRDefault="00B0150D">
            <w:pPr>
              <w:rPr>
                <w:sz w:val="16"/>
              </w:rPr>
            </w:pPr>
            <w:r>
              <w:rPr>
                <w:sz w:val="16"/>
              </w:rPr>
              <w:t>L8 Multi-KC rows</w:t>
            </w:r>
          </w:p>
        </w:tc>
        <w:tc>
          <w:tcPr>
            <w:tcW w:w="1619" w:type="pct"/>
            <w:tcMar>
              <w:top w:w="10" w:type="dxa"/>
              <w:left w:w="20" w:type="dxa"/>
              <w:bottom w:w="10" w:type="dxa"/>
              <w:right w:w="20" w:type="dxa"/>
            </w:tcMar>
            <w:vAlign w:val="center"/>
          </w:tcPr>
          <w:p w:rsidR="003E6F92" w:rsidRDefault="00B0150D">
            <w:pPr>
              <w:rPr>
                <w:sz w:val="16"/>
              </w:rPr>
            </w:pPr>
            <w:r>
              <w:rPr>
                <w:sz w:val="16"/>
              </w:rPr>
              <w:t>Outcome of a response hidden from the input for its other KC rows</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740" w:type="pct"/>
            <w:tcMar>
              <w:top w:w="10" w:type="dxa"/>
              <w:left w:w="20" w:type="dxa"/>
              <w:bottom w:w="10" w:type="dxa"/>
              <w:right w:w="20" w:type="dxa"/>
            </w:tcMar>
            <w:vAlign w:val="center"/>
          </w:tcPr>
          <w:p w:rsidR="003E6F92" w:rsidRDefault="00B0150D">
            <w:pPr>
              <w:jc w:val="center"/>
              <w:rPr>
                <w:sz w:val="16"/>
              </w:rPr>
            </w:pPr>
            <w:r>
              <w:rPr>
                <w:sz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 xml:space="preserve">f</w:t>
      </w:r>
      <w:r>
        <w:rPr>
          <w:vertAlign w:val="subscript"/>
        </w:rPr>
        <w:t xml:space="preserve">train</w:t>
      </w:r>
      <w:r>
        <w:t xml:space="preserve">) with the difficulty proxy (frequency–difficulty coupling) and with the curriculum-position proxy. These descriptors use no model output.</w:t>
      </w:r>
    </w:p>
    <w:p w:rsidR="00C62791" w:rsidRDefault="00AA3681" w:rsidP="00607E6B">
      <w:pPr>
        <w:pStyle w:val="Text"/>
        <w:spacing w:line="252" w:lineRule="exact"/>
      </w:pPr>
      <w:r>
        <w:t xml:space="preserve">The second is a simulated threshold analysis on the primary-protocol predictions of ASSISTments DKT and T-KT masked.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(10)</w:t>
      </w:r>
    </w:p>
    <w:p w:rsidR="00C62791" w:rsidRDefault="00AA3681" w:rsidP="00607E6B">
      <w:pPr>
        <w:pStyle w:val="Text"/>
        <w:spacing w:line="252" w:lineRule="exact"/>
        <w:ind w:firstLine="0"/>
      </w:pPr>
      <w:r>
        <w:t xml:space="preserve">that is, the proportion of advance decisions followed by an incorrect response; FAR equals one minus the precision of the advance decision, or its false discovery rate. We also report three related quantities: the false-positive rate FPR = </w:t>
      </w:r>
      <w:r>
        <w:rPr>
          <w:i/>
        </w:rPr>
        <w:t>P</w:t>
      </w:r>
      <w:r>
        <w:t>(</w:t>
      </w:r>
      <w:r>
        <w:rPr>
          <w:i/>
        </w:rPr>
        <w:t>p</w:t>
      </w:r>
      <w:r>
        <w:t xml:space="preserve"> ≥ </w:t>
      </w:r>
      <w:r>
        <w:rPr>
          <w:i/>
        </w:rPr>
        <w:t>τ</w:t>
      </w:r>
      <w:r>
        <w:t xml:space="preserve"> | </w:t>
      </w:r>
      <w:r>
        <w:rPr>
          <w:i/>
        </w:rPr>
        <w:lastRenderedPageBreak/>
        <w:t>y</w:t>
      </w:r>
      <w:r>
        <w:t xml:space="preserve"> = 0); the expected FAR implied by the model’s own probabilities, E[FAR] =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(10)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Only rows with a nonempty test window enter. On fold 0, 95% intervals for FAR and ΔFAR come from a KC-clustered percentile bootstrap: each of B = 2,000 replicates resamples KCs with replacement within the sparse group and within the dense group, with a fresh NumPy Generator seeded with 20261021 for each model. A replicate with no advance in either group would be left out; none occurred. Across partitions, ΔFAR is summarized over the four unique partitions, with fold 2 and fold 3 averaged first.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rPr>
          <w:color w:val="auto"/>
        </w:rPr>
        <w:t xml:space="preserve">Table 4 reports overall AUC and accuracy on rows with a nonempty test window. Under the primary protocol, ASSISTments DKT has AUC 0.7303 ± 0.0005 and accuracy 0.7354 ± 0.0008. T-KT masked has AUC 0.7244 ± 0.0007 and accuracy 0.7314 ± 0.0006. The mean and standard deviation (SD) use four unique partitions. Junyi DKT, under the same scoring rules but as a post-hoc check, has AUC 0.7554 ± 0.0012. simpleKT on ASSISTments, also post-hoc, has AUC 0.7711 ± 0.0013 and is not ranked against the primary models. These are discrimination scores under the primary protocol; they are not comparable with published benchmark scores that use other splits or window rules.</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4. Overall AUC and accuracy on nonempty test windows (mean ± SD across four unique learner partitions). N is the mean count, rounded. Fold 2 and fold 3 are one partition and are averaged before the SD. The SD is descriptive. All rows use the primary protocol. Junyi DKT and simpleKT are post-hoc sensitivity rows, not primary claims.</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128"/>
        <w:gridCol w:w="2432"/>
        <w:gridCol w:w="1976"/>
        <w:gridCol w:w="1976"/>
        <w:gridCol w:w="1520"/>
      </w:tblGrid>
      <w:tr w:rsidR="003E6F92">
        <w:trPr>
          <w:cantSplit/>
          <w:tblHeader/>
          <w:jc w:val="center"/>
        </w:trPr>
        <w:tc>
          <w:tcPr>
            <w:tcW w:w="2128" w:type="dxa"/>
            <w:tcMar>
              <w:top w:w="10" w:type="dxa"/>
              <w:left w:w="20" w:type="dxa"/>
              <w:bottom w:w="10" w:type="dxa"/>
              <w:right w:w="20" w:type="dxa"/>
            </w:tcMar>
            <w:vAlign w:val="center"/>
          </w:tcPr>
          <w:p>
            <w:pPr>
              <w:jc w:val="center"/>
            </w:pPr>
            <w:r>
              <w:rPr>
                <w:sz w:val="16"/>
                <w:szCs w:val="16"/>
              </w:rPr>
              <w:t xml:space="preserve">Dataset</w:t>
            </w:r>
          </w:p>
        </w:tc>
        <w:tc>
          <w:tcPr>
            <w:tcW w:w="2432" w:type="dxa"/>
            <w:tcMar>
              <w:top w:w="10" w:type="dxa"/>
              <w:left w:w="20" w:type="dxa"/>
              <w:bottom w:w="10" w:type="dxa"/>
              <w:right w:w="20" w:type="dxa"/>
            </w:tcMar>
            <w:vAlign w:val="center"/>
          </w:tcPr>
          <w:p>
            <w:pPr>
              <w:jc w:val="center"/>
            </w:pPr>
            <w:r>
              <w:rPr>
                <w:sz w:val="16"/>
                <w:szCs w:val="16"/>
              </w:rPr>
              <w:t xml:space="preserve">Model</w:t>
            </w:r>
          </w:p>
        </w:tc>
        <w:tc>
          <w:tcPr>
            <w:tcW w:w="1976" w:type="dxa"/>
            <w:tcMar>
              <w:top w:w="10" w:type="dxa"/>
              <w:left w:w="20" w:type="dxa"/>
              <w:bottom w:w="10" w:type="dxa"/>
              <w:right w:w="20" w:type="dxa"/>
            </w:tcMar>
            <w:vAlign w:val="center"/>
          </w:tcPr>
          <w:p>
            <w:pPr>
              <w:jc w:val="center"/>
            </w:pPr>
            <w:r>
              <w:rPr>
                <w:sz w:val="16"/>
                <w:szCs w:val="16"/>
              </w:rPr>
              <w:t xml:space="preserve">AUC ± SD</w:t>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rPr>
              <w:t xml:space="preserve">ACC ± SD</w:t>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N</w:t>
            </w:r>
          </w:p>
        </w:tc>
      </w:tr>
      <w:tr w:rsidR="003E6F9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DKT (primary)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0.7303 ± 0.0005</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0.7354 ± 0.0008</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3E6F9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T-KT masked (primary)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0.7244 ± 0.0007</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0.7314 ± 0.0006</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3E6F92">
        <w:trPr>
          <w:cantSplit/>
          <w:jc w:val="center"/>
        </w:trPr>
        <w:tc>
          <w:tcPr>
            <w:tcW w:w="2128" w:type="dxa"/>
            <w:tcMar>
              <w:top w:w="10" w:type="dxa"/>
              <w:left w:w="20" w:type="dxa"/>
              <w:bottom w:w="10" w:type="dxa"/>
              <w:right w:w="20" w:type="dxa"/>
            </w:tcMar>
            <w:vAlign w:val="center"/>
          </w:tcPr>
          <w:p>
            <w:pPr>
              <w:jc w:val="center"/>
            </w:pPr>
            <w:r>
              <w:rPr>
                <w:sz w:val="16"/>
                <w:szCs w:val="16"/>
              </w:rPr>
              <w:t xml:space="preserve">Junyi Academy</w:t>
            </w:r>
          </w:p>
        </w:tc>
        <w:tc>
          <w:tcPr>
            <w:tcW w:w="2432" w:type="dxa"/>
            <w:tcMar>
              <w:top w:w="10" w:type="dxa"/>
              <w:left w:w="20" w:type="dxa"/>
              <w:bottom w:w="10" w:type="dxa"/>
              <w:right w:w="20" w:type="dxa"/>
            </w:tcMar>
            <w:vAlign w:val="center"/>
          </w:tcPr>
          <w:p>
            <w:pPr>
              <w:jc w:val="center"/>
            </w:pPr>
            <w:r>
              <w:rPr>
                <w:sz w:val="16"/>
                <w:szCs w:val="16"/>
                <w:color w:val="auto"/>
              </w:rPr>
              <w:t xml:space="preserve">DKT (post-hoc)</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0.7554 ± 0.0012</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0.7469 ± 0.0013</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3,204,343</w:t>
            </w:r>
          </w:p>
        </w:tc>
      </w:tr>
      <w:tr w:rsidR="003E6F9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simpleKT (sensitivity)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0.7711 ± 0.0013</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0.7533 ± 0.0014</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3E6F92">
        <w:trPr>
          <w:cantSplit/>
          <w:jc w:val="center"/>
        </w:trPr>
        <w:tc>
          <w:tcPr>
            <w:tcW w:w="2128" w:type="dxa"/>
            <w:tcMar>
              <w:top w:w="10" w:type="dxa"/>
              <w:left w:w="20" w:type="dxa"/>
              <w:bottom w:w="10" w:type="dxa"/>
              <w:right w:w="20" w:type="dxa"/>
            </w:tcMar>
            <w:vAlign w:val="center"/>
          </w:tcPr>
          <w:p>
            <w:pPr>
              <w:jc w:val="center"/>
            </w:pPr>
            <w:r>
              <w:rPr>
                <w:sz w:val="16"/>
                <w:szCs w:val="16"/>
              </w:rPr>
              <w:t xml:space="preserve">XES3G5M</w:t>
            </w:r>
          </w:p>
        </w:tc>
        <w:tc>
          <w:tcPr>
            <w:tcW w:w="2432" w:type="dxa"/>
            <w:tcMar>
              <w:top w:w="10" w:type="dxa"/>
              <w:left w:w="20" w:type="dxa"/>
              <w:bottom w:w="10" w:type="dxa"/>
              <w:right w:w="20" w:type="dxa"/>
            </w:tcMar>
            <w:vAlign w:val="center"/>
          </w:tcPr>
          <w:p>
            <w:pPr>
              <w:jc w:val="center"/>
            </w:pPr>
            <w:r>
              <w:rPr>
                <w:sz w:val="16"/>
                <w:szCs w:val="16"/>
                <w:color w:val="auto"/>
              </w:rPr>
              <w:t xml:space="preserve">Any model</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Not evaluated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rPr>
          <w:color w:val="auto"/>
        </w:rPr>
        <w:t xml:space="preserve">On ASSISTments 2012, under the primary protocol, sparse ECE is higher than dense ECE for both primary models (Table 5). For DKT the four-partition means are 0.0982 ± 0.0093 sparse and 0.0089 ± 0.0013 dense, so ΔECE = 0.0893 ± 0.0091. ΔECE* = −0.0081 ± 0.0122. The size-matched gap is 0.0400 ± 0.0107. On fold 0 that gap is 0.0351, and the learner-cluster 95% interval is 0.0170 to 0.0821 (N sparse = 430). ΔECE* on that fold is −0.0088. The matched gap is positive on all four partitions. ΔECE* is positive only on fold 1. The interval is for fold 0. It is not a test of the other partitions, and ΔECE* is not that interval. Table A5 gives G and the same learner-cluster interval for each unique partition; for both models every interval excludes 0, but these supplementary intervals are not combined into one significance claim. For T-KT masked the four-partition sparse and dense ECE are 0.1199 ± 0.0247 and 0.0158 ± 0.0032 (ΔECE = 0.1041 ± 0.0215). ΔECE* = 0.0068 ± 0.0207, positive on fold 1 and fold 4 and negative on fold 0 and folds 2–3. The matched gap is 0.0581 ± 0.0230. The fold-0 gap is 0.0365, with interval 0.0233 to 0.0878. The mask, the checkpoint, and the window were introduced together, so this is not a mask-only effect. simpleKT is sensitivity only and is not in Table 5.</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vertAlign w:val="subscript"/>
        </w:rPr>
      </w:r>
      <w:r/>
      <w:r/>
      <w:r>
        <w:rPr>
          <w:color w:val="000000"/>
        </w:rPr>
      </w:r>
      <w:r>
        <w:rPr>
          <w:color w:val="000000"/>
        </w:rPr>
      </w:r>
    </w:p>
    <w:p w:rsidR="00C62791" w:rsidRDefault="00AA3681" w:rsidP="00607E6B">
      <w:pPr>
        <w:pStyle w:val="Text"/>
        <w:spacing w:line="252" w:lineRule="exact"/>
      </w:pPr>
      <w:r>
        <w:rPr>
          <w:color w:val="auto"/>
        </w:rPr>
        <w:t xml:space="preserve">Junyi Academy has no sparse group. Its DKT medium-versus-dense contrast uses the same checkpoint and window, but it is post-hoc. The four-partition means are ECE 0.0345 ± 0.0080 on medium and 0.0043 ± 0.0021 on dense (ΔECE = 0.0302 ± 0.0069; mean count N medium = 3,677). ΔECE* = −0.0032 ± 0.0067. That value is the mean of the per-partition references, not 0.0302 minus the bound at a single N. The matched gap is 0.0115 ± 0.0073. The fold-0 interval is 0.0010 to 0.0434 and applies to that partition. XES3G5M has no model row: check L8 failed (Section III.A), and no corrected model was trained. Our audit of the released question-level sequence files also found 301 training responses repeated at the start of the learner’s next window (artifact v4, audits/GATE_B_XES_REPORT.md). Its frequency distribution remains descriptive only.</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color w:val="000000"/>
        </w:rPr>
      </w:r>
      <w:r>
        <w:rPr>
          <w:color w:val="000000"/>
        </w:rPr>
      </w:r>
      <w:r>
        <w:rPr/>
      </w:r>
      <w:r/>
      <w:r/>
      <w:r>
        <w:rPr>
          <w:vertAlign w:val="subscript"/>
        </w:rPr>
      </w:r>
      <w:r/>
      <w:r>
        <w:rPr>
          <w:color w:val="000000"/>
        </w:rPr>
      </w:r>
      <w:r>
        <w:rPr>
          <w:color w:val="000000"/>
        </w:rPr>
      </w:r>
      <w:r>
        <w:rPr/>
      </w:r>
      <w:r/>
    </w:p>
    <w:p w:rsidR="00C62791" w:rsidRDefault="00AA3681" w:rsidP="00607E6B">
      <w:pPr>
        <w:pStyle w:val="Text"/>
        <w:spacing w:line="252" w:lineRule="exact"/>
      </w:pPr>
      <w:r>
        <w:rPr>
          <w:color w:val="auto"/>
        </w:rPr>
        <w:t xml:space="preserve">Table A1 adds group-level AUC and the Brier decomposition (4) under the same protocol. REL was larger on sparse than on dense components: 0.0137 ± 0.0026 versus 0.0001 ± 0.0000 for DKT and 0.0215 ± 0.0076 versus 0.0004 ± 0.0001 for T-KT masked. Sparse-group AUC was 0.7670 ± 0.0188 for DKT and 0.7476 ± 0.0344 for T-KT masked, against overall AUC of 0.7303 and 0.7244 (Table 4). For DKT, sparse-group AUC exceeded overall AUC in every run; for T-KT masked it was lower in folds 1 and 4. Sparse responses were thus ranked about as well as responses overall while their reliability term was larger, which a pooled AUC does not show. REL is binned like ECE and is biased upward in small groups, so it is not a separate test of the sparse–dense difference.</w:t>
      </w:r>
      <w:r>
        <w:lastRenderedPageBreak/>
        <w:t/>
      </w:r>
    </w:p>
    <w:p w:rsidR="00C62791" w:rsidRDefault="00AA3681" w:rsidP="00607E6B">
      <w:pPr>
        <w:pStyle w:val="Text"/>
        <w:spacing w:line="252" w:lineRule="exact"/>
      </w:pPr>
      <w:r>
        <w:rPr>
          <w:color w:val="auto"/>
        </w:rPr>
        <w:t xml:space="preserve">Fig. 3 shows the fold-0 reliability diagrams for the two primary models on ASSISTments 2012. The sparse curves use 430 responses and 15 bins. They are visual checks, not the four-partition estimate, and they do not show that a checkpoint removed or caused the difference. Junyi Academy has no sparse group and XES3G5M is descriptive only, so neither is plotted.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5. Calibration by frequency group under the primary protocol (mean ± SD across four unique partitions; N is the mean count, rounded). ΔECE is (5), ΔECE* is the bias reference (7), and the matched gap is G (9); the 95% confidence interval (CI) is the fold-0 learner-cluster interval of G. Support: Limited if 100 ≤ N &lt; 1,000; Reliable if N ≥ 1,000. Junyi Academy is post-hoc, and its medium group takes the place of the sparse group.</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i/>
        </w:rPr>
      </w:r>
      <w:r/>
      <w:r>
        <w:rPr>
          <w:i/>
        </w:rPr>
      </w:r>
      <w:r/>
      <w:r>
        <w:rPr>
          <w:vertAlign w:val="subscript"/>
        </w:rPr>
      </w:r>
      <w:r/>
      <w:r>
        <w:rPr>
          <w:i/>
        </w:rPr>
      </w:r>
      <w:r/>
      <w:r>
        <w:rPr>
          <w:i/>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500"/>
        <w:gridCol w:w="1000"/>
        <w:gridCol w:w="1150"/>
        <w:gridCol w:w="1200"/>
        <w:gridCol w:w="980"/>
        <w:gridCol w:w="980"/>
        <w:gridCol w:w="980"/>
        <w:gridCol w:w="980"/>
        <w:gridCol w:w="1265"/>
      </w:tblGrid>
      <w:tr w:rsidR="003E6F92">
        <w:trPr>
          <w:cantSplit/>
          <w:tblHeader/>
          <w:jc w:val="center"/>
        </w:trPr>
        <w:tc>
          <w:tcPr>
            <w:tcW w:w="1500" w:type="dxa"/>
            <w:tcMar>
              <w:top w:w="10" w:type="dxa"/>
              <w:left w:w="20" w:type="dxa"/>
              <w:bottom w:w="10" w:type="dxa"/>
              <w:right w:w="20" w:type="dxa"/>
            </w:tcMar>
            <w:vAlign w:val="center"/>
          </w:tcPr>
          <w:p>
            <w:pPr>
              <w:jc w:val="center"/>
            </w:pPr>
            <w:r>
              <w:rPr>
                <w:sz w:val="16"/>
                <w:szCs w:val="16"/>
              </w:rPr>
              <w:t>Dataset</w:t>
            </w:r>
          </w:p>
        </w:tc>
        <w:tc>
          <w:tcPr>
            <w:tcW w:w="1000" w:type="dxa"/>
            <w:tcMar>
              <w:top w:w="10" w:type="dxa"/>
              <w:left w:w="20" w:type="dxa"/>
              <w:bottom w:w="10" w:type="dxa"/>
              <w:right w:w="20" w:type="dxa"/>
            </w:tcMar>
            <w:vAlign w:val="center"/>
          </w:tcPr>
          <w:p>
            <w:pPr>
              <w:jc w:val="center"/>
            </w:pPr>
            <w:r>
              <w:rPr>
                <w:sz w:val="16"/>
                <w:szCs w:val="16"/>
                <w:color w:val="auto"/>
              </w:rPr>
              <w:t>Model</w:t>
            </w:r>
          </w:p>
        </w:tc>
        <w:tc>
          <w:tcPr>
            <w:tcW w:w="1150" w:type="dxa"/>
            <w:tcMar>
              <w:top w:w="10" w:type="dxa"/>
              <w:left w:w="20" w:type="dxa"/>
              <w:bottom w:w="10" w:type="dxa"/>
              <w:right w:w="20" w:type="dxa"/>
            </w:tcMar>
            <w:vAlign w:val="center"/>
          </w:tcPr>
          <w:p>
            <w:pPr>
              <w:jc w:val="center"/>
            </w:pPr>
            <w:r>
              <w:rPr>
                <w:sz w:val="16"/>
                <w:szCs w:val="16"/>
                <w:color w:val="auto"/>
              </w:rPr>
              <w:t>Group</w:t>
            </w:r>
            <w:r>
              <w:rPr>
                <w:sz w:val="16"/>
                <w:szCs w:val="16"/>
              </w:rPr>
              <w:t xml:space="preserve"> </w:t>
            </w:r>
            <w:r>
              <w:rPr>
                <w:sz w:val="16"/>
                <w:szCs w:val="16"/>
                <w:color w:val="auto"/>
              </w:rPr>
              <w:t>(support)</w:t>
            </w:r>
          </w:p>
        </w:tc>
        <w:tc>
          <w:tcPr>
            <w:tcW w:w="1200" w:type="dxa"/>
            <w:tcMar>
              <w:top w:w="10" w:type="dxa"/>
              <w:left w:w="20" w:type="dxa"/>
              <w:bottom w:w="10" w:type="dxa"/>
              <w:right w:w="20" w:type="dxa"/>
            </w:tcMar>
            <w:vAlign w:val="center"/>
          </w:tcPr>
          <w:p>
            <w:pPr>
              <w:jc w:val="center"/>
            </w:pPr>
            <w:r>
              <w:rPr>
                <w:sz w:val="16"/>
                <w:szCs w:val="16"/>
              </w:rPr>
              <w:t>N</w:t>
            </w:r>
          </w:p>
        </w:tc>
        <w:tc>
          <w:tcPr>
            <w:tcW w:w="980" w:type="dxa"/>
            <w:tcMar>
              <w:top w:w="10" w:type="dxa"/>
              <w:left w:w="20" w:type="dxa"/>
              <w:bottom w:w="10" w:type="dxa"/>
              <w:right w:w="20" w:type="dxa"/>
            </w:tcMar>
            <w:vAlign w:val="center"/>
          </w:tcPr>
          <w:p>
            <w:pPr>
              <w:jc w:val="center"/>
            </w:pPr>
            <w:r>
              <w:rPr>
                <w:sz w:val="16"/>
                <w:szCs w:val="16"/>
                <w:color w:val="auto"/>
              </w:rPr>
              <w:t>ECE</w:t>
            </w:r>
          </w:p>
        </w:tc>
        <w:tc>
          <w:tcPr>
            <w:tcW w:w="980" w:type="dxa"/>
            <w:tcMar>
              <w:top w:w="10" w:type="dxa"/>
              <w:left w:w="20" w:type="dxa"/>
              <w:bottom w:w="10" w:type="dxa"/>
              <w:right w:w="20" w:type="dxa"/>
            </w:tcMar>
            <w:vAlign w:val="center"/>
          </w:tcPr>
          <w:p>
            <w:pPr>
              <w:jc w:val="center"/>
            </w:pPr>
            <w:r>
              <w:rPr>
                <w:sz w:val="16"/>
                <w:szCs w:val="16"/>
                <w:color w:val="auto"/>
              </w:rPr>
              <w:t>ΔECE</w:t>
            </w:r>
          </w:p>
        </w:tc>
        <w:tc>
          <w:tcPr>
            <w:tcW w:w="980" w:type="dxa"/>
            <w:tcMar>
              <w:top w:w="10" w:type="dxa"/>
              <w:left w:w="20" w:type="dxa"/>
              <w:bottom w:w="10" w:type="dxa"/>
              <w:right w:w="20" w:type="dxa"/>
            </w:tcMar>
            <w:vAlign w:val="center"/>
          </w:tcPr>
          <w:p>
            <w:pPr>
              <w:jc w:val="center"/>
            </w:pPr>
            <w:r>
              <w:rPr>
                <w:sz w:val="16"/>
                <w:szCs w:val="16"/>
                <w:color w:val="auto"/>
              </w:rPr>
              <w:t>ΔECE*</w:t>
            </w:r>
          </w:p>
        </w:tc>
        <w:tc>
          <w:tcPr>
            <w:tcW w:w="980" w:type="dxa"/>
            <w:tcMar>
              <w:top w:w="10" w:type="dxa"/>
              <w:left w:w="20" w:type="dxa"/>
              <w:bottom w:w="10" w:type="dxa"/>
              <w:right w:w="20" w:type="dxa"/>
            </w:tcMar>
            <w:vAlign w:val="center"/>
          </w:tcPr>
          <w:p>
            <w:pPr>
              <w:jc w:val="center"/>
            </w:pPr>
            <w:r>
              <w:rPr>
                <w:sz w:val="16"/>
                <w:szCs w:val="16"/>
                <w:color w:val="auto"/>
              </w:rPr>
              <w:t>Matched</w:t>
            </w:r>
            <w:r>
              <w:rPr>
                <w:sz w:val="16"/>
                <w:szCs w:val="16"/>
              </w:rPr>
              <w:t xml:space="preserve"> </w:t>
            </w:r>
            <w:r>
              <w:rPr>
                <w:sz w:val="16"/>
                <w:szCs w:val="16"/>
                <w:color w:val="auto"/>
              </w:rPr>
              <w:t>gap</w:t>
            </w:r>
          </w:p>
        </w:tc>
        <w:tc>
          <w:tcPr>
            <w:tcW w:w="1265" w:type="dxa"/>
            <w:tcMar>
              <w:top w:w="10" w:type="dxa"/>
              <w:left w:w="20" w:type="dxa"/>
              <w:bottom w:w="10" w:type="dxa"/>
              <w:right w:w="20" w:type="dxa"/>
            </w:tcMar>
            <w:vAlign w:val="center"/>
          </w:tcPr>
          <w:p>
            <w:pPr>
              <w:jc w:val="center"/>
            </w:pPr>
            <w:r>
              <w:rPr>
                <w:sz w:val="16"/>
                <w:szCs w:val="16"/>
                <w:color w:val="auto"/>
              </w:rPr>
              <w:t>95%</w:t>
            </w:r>
            <w:r>
              <w:rPr>
                <w:sz w:val="16"/>
                <w:szCs w:val="16"/>
              </w:rPr>
              <w:t xml:space="preserve"> </w:t>
            </w:r>
            <w:r>
              <w:rPr>
                <w:sz w:val="16"/>
                <w:szCs w:val="16"/>
                <w:color w:val="auto"/>
              </w:rPr>
              <w:t>CI</w:t>
            </w:r>
            <w:r>
              <w:rPr>
                <w:sz w:val="16"/>
                <w:szCs w:val="16"/>
              </w:rPr>
              <w:t xml:space="preserve"> </w:t>
            </w:r>
            <w:r>
              <w:rPr>
                <w:sz w:val="16"/>
                <w:szCs w:val="16"/>
                <w:color w:val="auto"/>
              </w:rPr>
              <w:t>(fold</w:t>
            </w:r>
            <w:r>
              <w:rPr>
                <w:sz w:val="16"/>
                <w:szCs w:val="16"/>
              </w:rPr>
              <w:t xml:space="preserve"> </w:t>
            </w:r>
            <w:r>
              <w:rPr>
                <w:sz w:val="16"/>
                <w:szCs w:val="16"/>
                <w:color w:val="auto"/>
              </w:rPr>
              <w:t>0</w:t>
            </w:r>
            <w:r>
              <w:rPr>
                <w:sz w:val="16"/>
                <w:szCs w:val="16"/>
              </w:rPr>
              <w:t xml:space="preserve"> </w:t>
            </w:r>
            <w:r>
              <w:rPr>
                <w:sz w:val="16"/>
                <w:szCs w:val="16"/>
                <w:color w:val="auto"/>
              </w:rPr>
              <w:t>gap)</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150" w:type="dxa"/>
            <w:tcMar>
              <w:top w:w="10" w:type="dxa"/>
              <w:left w:w="20" w:type="dxa"/>
              <w:bottom w:w="10" w:type="dxa"/>
              <w:right w:w="20" w:type="dxa"/>
            </w:tcMar>
            <w:vAlign w:val="center"/>
          </w:tcPr>
          <w:p>
            <w:pPr>
              <w:jc w:val="center"/>
            </w:pPr>
            <w:r>
              <w:rPr>
                <w:sz w:val="16"/>
                <w:szCs w:val="16"/>
                <w:color w:val="auto"/>
              </w:rPr>
              <w:t xml:space="preserve">sparse (Limited)</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398</w:t>
            </w:r>
          </w:p>
        </w:tc>
        <w:tc>
          <w:tcPr>
            <w:tcW w:w="980" w:type="dxa"/>
            <w:tcMar>
              <w:top w:w="10" w:type="dxa"/>
              <w:left w:w="20" w:type="dxa"/>
              <w:bottom w:w="10" w:type="dxa"/>
              <w:right w:w="20" w:type="dxa"/>
            </w:tcMar>
            <w:vAlign w:val="center"/>
          </w:tcPr>
          <w:p>
            <w:pPr>
              <w:jc w:val="center"/>
            </w:pPr>
            <w:r>
              <w:rPr>
                <w:sz w:val="16"/>
                <w:szCs w:val="16"/>
                <w:color w:val="auto"/>
              </w:rPr>
              <w:t xml:space="preserve">0.0982± 0.0093</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0.0893± 0.0091</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−0.0081± 0.0122</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0.0400± 0.0107</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0.0170to 0.0821</w:t>
            </w:r>
            <w:r>
              <w:rPr>
                <w:sz w:val="16"/>
                <w:szCs w:val="16"/>
              </w:rPr>
              <w:br/>
            </w:r>
            <w:r>
              <w:rPr>
                <w:sz w:val="16"/>
                <w:szCs w:val="16"/>
                <w:color w:val="auto"/>
              </w:rPr>
              <w:t/>
            </w:r>
            <w:r>
              <w:rPr>
                <w:sz w:val="16"/>
                <w:szCs w:val="16"/>
              </w:rPr>
              <w:t xml:space="preserve"/>
            </w:r>
            <w:r>
              <w:rPr>
                <w:sz w:val="16"/>
                <w:szCs w:val="16"/>
                <w:color w:val="auto"/>
              </w:rPr>
              <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15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517,330</w:t>
            </w:r>
          </w:p>
        </w:tc>
        <w:tc>
          <w:tcPr>
            <w:tcW w:w="980" w:type="dxa"/>
            <w:tcMar>
              <w:top w:w="10" w:type="dxa"/>
              <w:left w:w="20" w:type="dxa"/>
              <w:bottom w:w="10" w:type="dxa"/>
              <w:right w:w="20" w:type="dxa"/>
            </w:tcMar>
            <w:vAlign w:val="center"/>
          </w:tcPr>
          <w:p>
            <w:pPr>
              <w:jc w:val="center"/>
            </w:pPr>
            <w:r>
              <w:rPr>
                <w:sz w:val="16"/>
                <w:szCs w:val="16"/>
                <w:color w:val="auto"/>
              </w:rPr>
              <w:t xml:space="preserve">0.0089± 0.0013</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T-KT masked</w:t>
            </w:r>
          </w:p>
        </w:tc>
        <w:tc>
          <w:tcPr>
            <w:tcW w:w="1150" w:type="dxa"/>
            <w:tcMar>
              <w:top w:w="10" w:type="dxa"/>
              <w:left w:w="20" w:type="dxa"/>
              <w:bottom w:w="10" w:type="dxa"/>
              <w:right w:w="20" w:type="dxa"/>
            </w:tcMar>
            <w:vAlign w:val="center"/>
          </w:tcPr>
          <w:p>
            <w:pPr>
              <w:jc w:val="center"/>
            </w:pPr>
            <w:r>
              <w:rPr>
                <w:sz w:val="16"/>
                <w:szCs w:val="16"/>
                <w:color w:val="auto"/>
              </w:rPr>
              <w:t xml:space="preserve">sparse (Limited)</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398</w:t>
            </w:r>
          </w:p>
        </w:tc>
        <w:tc>
          <w:tcPr>
            <w:tcW w:w="980" w:type="dxa"/>
            <w:tcMar>
              <w:top w:w="10" w:type="dxa"/>
              <w:left w:w="20" w:type="dxa"/>
              <w:bottom w:w="10" w:type="dxa"/>
              <w:right w:w="20" w:type="dxa"/>
            </w:tcMar>
            <w:vAlign w:val="center"/>
          </w:tcPr>
          <w:p>
            <w:pPr>
              <w:jc w:val="center"/>
            </w:pPr>
            <w:r>
              <w:rPr>
                <w:sz w:val="16"/>
                <w:szCs w:val="16"/>
                <w:color w:val="auto"/>
              </w:rPr>
              <w:t xml:space="preserve">0.1199± 0.0247</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0.1041± 0.0215</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0.0068± 0.0207</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0.0581± 0.0230</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0.0233to 0.0878</w:t>
            </w:r>
            <w:r>
              <w:rPr>
                <w:sz w:val="16"/>
                <w:szCs w:val="16"/>
              </w:rPr>
              <w:br/>
            </w:r>
            <w:r>
              <w:rPr>
                <w:sz w:val="16"/>
                <w:szCs w:val="16"/>
                <w:color w:val="auto"/>
              </w:rPr>
              <w:t/>
            </w:r>
            <w:r>
              <w:rPr>
                <w:sz w:val="16"/>
                <w:szCs w:val="16"/>
              </w:rPr>
              <w:t xml:space="preserve"/>
            </w:r>
            <w:r>
              <w:rPr>
                <w:sz w:val="16"/>
                <w:szCs w:val="16"/>
                <w:color w:val="auto"/>
              </w:rPr>
              <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T-KT masked</w:t>
            </w:r>
          </w:p>
        </w:tc>
        <w:tc>
          <w:tcPr>
            <w:tcW w:w="115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517,330</w:t>
            </w:r>
          </w:p>
        </w:tc>
        <w:tc>
          <w:tcPr>
            <w:tcW w:w="980" w:type="dxa"/>
            <w:tcMar>
              <w:top w:w="10" w:type="dxa"/>
              <w:left w:w="20" w:type="dxa"/>
              <w:bottom w:w="10" w:type="dxa"/>
              <w:right w:w="20" w:type="dxa"/>
            </w:tcMar>
            <w:vAlign w:val="center"/>
          </w:tcPr>
          <w:p>
            <w:pPr>
              <w:jc w:val="center"/>
            </w:pPr>
            <w:r>
              <w:rPr>
                <w:sz w:val="16"/>
                <w:szCs w:val="16"/>
                <w:color w:val="auto"/>
              </w:rPr>
              <w:t xml:space="preserve">0.0158± 0.0032</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150" w:type="dxa"/>
            <w:tcMar>
              <w:top w:w="10" w:type="dxa"/>
              <w:left w:w="20" w:type="dxa"/>
              <w:bottom w:w="10" w:type="dxa"/>
              <w:right w:w="20" w:type="dxa"/>
            </w:tcMar>
            <w:vAlign w:val="center"/>
          </w:tcPr>
          <w:p>
            <w:pPr>
              <w:jc w:val="center"/>
            </w:pPr>
            <w:r>
              <w:rPr>
                <w:sz w:val="16"/>
                <w:szCs w:val="16"/>
                <w:color w:val="auto"/>
              </w:rPr>
              <w:t xml:space="preserve">medium (Reliable)</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3,677</w:t>
            </w:r>
          </w:p>
        </w:tc>
        <w:tc>
          <w:tcPr>
            <w:tcW w:w="980" w:type="dxa"/>
            <w:tcMar>
              <w:top w:w="10" w:type="dxa"/>
              <w:left w:w="20" w:type="dxa"/>
              <w:bottom w:w="10" w:type="dxa"/>
              <w:right w:w="20" w:type="dxa"/>
            </w:tcMar>
            <w:vAlign w:val="center"/>
          </w:tcPr>
          <w:p>
            <w:pPr>
              <w:jc w:val="center"/>
            </w:pPr>
            <w:r>
              <w:rPr>
                <w:sz w:val="16"/>
                <w:szCs w:val="16"/>
                <w:color w:val="auto"/>
              </w:rPr>
              <w:t xml:space="preserve">0.0345± 0.0080</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0.0302± 0.0069</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−0.0032± 0.0067</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0.0115± 0.0073</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0.0010to 0.0434</w:t>
            </w:r>
            <w:r>
              <w:rPr>
                <w:sz w:val="16"/>
                <w:szCs w:val="16"/>
              </w:rPr>
              <w:br/>
            </w:r>
            <w:r>
              <w:rPr>
                <w:sz w:val="16"/>
                <w:szCs w:val="16"/>
                <w:color w:val="auto"/>
              </w:rPr>
              <w:t/>
            </w:r>
            <w:r>
              <w:rPr>
                <w:sz w:val="16"/>
                <w:szCs w:val="16"/>
              </w:rPr>
              <w:t xml:space="preserve"/>
            </w:r>
            <w:r>
              <w:rPr>
                <w:sz w:val="16"/>
                <w:szCs w:val="16"/>
                <w:color w:val="auto"/>
              </w:rPr>
              <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15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1200" w:type="dxa"/>
            <w:tcMar>
              <w:top w:w="10" w:type="dxa"/>
              <w:left w:w="20" w:type="dxa"/>
              <w:bottom w:w="10" w:type="dxa"/>
              <w:right w:w="20" w:type="dxa"/>
            </w:tcMar>
            <w:vAlign w:val="center"/>
          </w:tcPr>
          <w:p>
            <w:pPr>
              <w:jc w:val="center"/>
            </w:pPr>
            <w:r>
              <w:rPr>
                <w:sz w:val="16"/>
                <w:szCs w:val="16"/>
                <w:color w:val="auto"/>
              </w:rPr>
              <w:t xml:space="preserve">3,200,666</w:t>
            </w:r>
          </w:p>
        </w:tc>
        <w:tc>
          <w:tcPr>
            <w:tcW w:w="980" w:type="dxa"/>
            <w:tcMar>
              <w:top w:w="10" w:type="dxa"/>
              <w:left w:w="20" w:type="dxa"/>
              <w:bottom w:w="10" w:type="dxa"/>
              <w:right w:w="20" w:type="dxa"/>
            </w:tcMar>
            <w:vAlign w:val="center"/>
          </w:tcPr>
          <w:p>
            <w:pPr>
              <w:jc w:val="center"/>
            </w:pPr>
            <w:r>
              <w:rPr>
                <w:sz w:val="16"/>
                <w:szCs w:val="16"/>
                <w:color w:val="auto"/>
              </w:rPr>
              <w:t xml:space="preserve">0.0043± 0.0021</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9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26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rPr>
          <w:color w:val="auto"/>
        </w:rPr>
        <w:t xml:space="preserve">Whether a sparse contrast can be estimated is a property of the counts (Tables 6 and 7; RQ2). ASSISTments 2012 has a nonempty sparse group. Under the primary protocol its mean sparse N is 398, which is Limited, and its dense group is Reliable, so the contrast is eligible. Junyi Academy has no sparse group; the post-hoc contrast is medium versus dense, and the medium group is Reliable. XES3G5M has low-frequency KC rows (1,969 sparse test rows on average), but the model contrast is not eligible: check L8 failed, and the dataset is descriptive only. Strict cold-start and very-sparse groups are not given a primary ECE.</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
    </w:p>
    <w:p w:rsidR="00C62791" w:rsidRDefault="00AA3681" w:rsidP="00607E6B">
      <w:pPr>
        <w:pStyle w:val="Text"/>
        <w:spacing w:line="252" w:lineRule="exact"/>
      </w:pPr>
      <w:r>
        <w:rPr>
          <w:color w:val="auto"/>
        </w:rPr>
        <w:t xml:space="preserve">The structural descriptors in Table 7 characterize the datasets, and none of them is treated as a necessary or sufficient condition for the direction of a contrast. Frequency and difficulty were negatively correlated on ASSISTments 2012 (ρ = −0.241, with sparse KCs harder) and Junyi Academy (ρ = −0.416) but weakly positively correlated on XES3G5M (ρ = 0.110).</w:t>
      </w:r>
      <w:r>
        <w:lastRenderedPageBreak/>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6. Estimability and evidence status by dataset under the primary protocol. Checks are those of Table 3. Direction refers to ΔECE (5), the size-matched gap G (9), and the bias reference ΔECE* (7); for Junyi Academy the medium group takes the place of the sparse group. Counts and descriptors are in Table 7.</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11"/>
        <w:gridCol w:w="2612"/>
        <w:gridCol w:w="2612"/>
      </w:tblGrid>
      <w:tr w:rsidR="003E6F92">
        <w:trPr>
          <w:cantSplit/>
          <w:tblHeader/>
          <w:jc w:val="center"/>
        </w:trPr>
        <w:tc>
          <w:tcPr>
            <w:tcW w:w="2200" w:type="dxa"/>
            <w:tcMar>
              <w:top w:w="10" w:type="dxa"/>
              <w:left w:w="20" w:type="dxa"/>
              <w:bottom w:w="10" w:type="dxa"/>
              <w:right w:w="20" w:type="dxa"/>
            </w:tcMar>
            <w:vAlign w:val="center"/>
          </w:tcPr>
          <w:p>
            <w:r>
              <w:rPr>
                <w:sz w:val="18"/>
                <w:szCs w:val="18"/>
                <w:color w:val="auto"/>
              </w:rPr>
              <w:t xml:space="preserve">Question</w:t>
            </w:r>
          </w:p>
        </w:tc>
        <w:tc>
          <w:tcPr>
            <w:tcW w:w="2611" w:type="dxa"/>
            <w:tcMar>
              <w:top w:w="10" w:type="dxa"/>
              <w:left w:w="20" w:type="dxa"/>
              <w:bottom w:w="10" w:type="dxa"/>
              <w:right w:w="20" w:type="dxa"/>
            </w:tcMar>
            <w:vAlign w:val="center"/>
          </w:tcPr>
          <w:p>
            <w:r>
              <w:rPr>
                <w:sz w:val="18"/>
                <w:szCs w:val="18"/>
                <w:color w:val="auto"/>
              </w:rPr>
              <w:t xml:space="preserve">ASSISTments 2012</w:t>
            </w:r>
            <w:r>
              <w:rPr>
                <w:sz w:val="18"/>
                <w:szCs w:val="18"/>
              </w:rPr>
              <w:t xml:space="preserve"/>
            </w:r>
            <w:r>
              <w:rPr>
                <w:sz w:val="18"/>
                <w:szCs w:val="18"/>
                <w:color w:val="auto"/>
              </w:rPr>
              <w:t/>
            </w:r>
          </w:p>
        </w:tc>
        <w:tc>
          <w:tcPr>
            <w:tcW w:w="2612" w:type="dxa"/>
            <w:tcMar>
              <w:top w:w="10" w:type="dxa"/>
              <w:left w:w="20" w:type="dxa"/>
              <w:bottom w:w="10" w:type="dxa"/>
              <w:right w:w="20" w:type="dxa"/>
            </w:tcMar>
            <w:vAlign w:val="center"/>
          </w:tcPr>
          <w:p>
            <w:r>
              <w:rPr>
                <w:sz w:val="18"/>
                <w:szCs w:val="18"/>
                <w:color w:val="auto"/>
              </w:rPr>
              <w:t xml:space="preserve">Junyi Academy</w:t>
            </w:r>
            <w:r>
              <w:rPr>
                <w:sz w:val="18"/>
                <w:szCs w:val="18"/>
              </w:rPr>
              <w:t xml:space="preserve"/>
            </w:r>
            <w:r>
              <w:rPr>
                <w:sz w:val="18"/>
                <w:szCs w:val="18"/>
                <w:color w:val="auto"/>
              </w:rPr>
              <w:t/>
            </w:r>
          </w:p>
        </w:tc>
        <w:tc>
          <w:tcPr>
            <w:tcW w:w="2612" w:type="dxa"/>
            <w:tcMar>
              <w:top w:w="10" w:type="dxa"/>
              <w:left w:w="20" w:type="dxa"/>
              <w:bottom w:w="10" w:type="dxa"/>
              <w:right w:w="20" w:type="dxa"/>
            </w:tcMar>
            <w:vAlign w:val="center"/>
          </w:tcPr>
          <w:p>
            <w:r>
              <w:rPr>
                <w:sz w:val="18"/>
                <w:szCs w:val="18"/>
                <w:color w:val="auto"/>
              </w:rPr>
              <w:t xml:space="preserve">XES3G5M</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Sparse group present?</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Yes (Limited)</w:t>
            </w:r>
          </w:p>
        </w:tc>
        <w:tc>
          <w:tcPr>
            <w:tcW w:w="2612" w:type="dxa"/>
            <w:tcMar>
              <w:top w:w="10" w:type="dxa"/>
              <w:left w:w="20" w:type="dxa"/>
              <w:bottom w:w="10" w:type="dxa"/>
              <w:right w:w="20" w:type="dxa"/>
            </w:tcMar>
            <w:vAlign w:val="center"/>
          </w:tcPr>
          <w:p>
            <w:r>
              <w:rPr>
                <w:sz w:val="18"/>
                <w:szCs w:val="18"/>
                <w:color w:val="auto"/>
              </w:rPr>
              <w:t xml:space="preserve">No</w:t>
            </w:r>
          </w:p>
        </w:tc>
        <w:tc>
          <w:tcPr>
            <w:tcW w:w="2612" w:type="dxa"/>
            <w:tcMar>
              <w:top w:w="10" w:type="dxa"/>
              <w:left w:w="20" w:type="dxa"/>
              <w:bottom w:w="10" w:type="dxa"/>
              <w:right w:w="20" w:type="dxa"/>
            </w:tcMar>
            <w:vAlign w:val="center"/>
          </w:tcPr>
          <w:p>
            <w:r>
              <w:rPr>
                <w:sz w:val="18"/>
                <w:szCs w:val="18"/>
                <w:color w:val="auto"/>
              </w:rPr>
              <w:t xml:space="preserve">KC-level tail only</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L1–L8 PASS?</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L1–L7 PASS; L8 not applicable (one row per response)</w:t>
            </w:r>
          </w:p>
        </w:tc>
        <w:tc>
          <w:tcPr>
            <w:tcW w:w="2612" w:type="dxa"/>
            <w:tcMar>
              <w:top w:w="10" w:type="dxa"/>
              <w:left w:w="20" w:type="dxa"/>
              <w:bottom w:w="10" w:type="dxa"/>
              <w:right w:w="20" w:type="dxa"/>
            </w:tcMar>
            <w:vAlign w:val="center"/>
          </w:tcPr>
          <w:p>
            <w:r>
              <w:rPr>
                <w:sz w:val="18"/>
                <w:szCs w:val="18"/>
                <w:color w:val="auto"/>
              </w:rPr>
              <w:t xml:space="preserve">L1–L7 PASS; L8 not applicable (one row per response)</w:t>
            </w:r>
          </w:p>
        </w:tc>
        <w:tc>
          <w:tcPr>
            <w:tcW w:w="2612" w:type="dxa"/>
            <w:tcMar>
              <w:top w:w="10" w:type="dxa"/>
              <w:left w:w="20" w:type="dxa"/>
              <w:bottom w:w="10" w:type="dxa"/>
              <w:right w:w="20" w:type="dxa"/>
            </w:tcMar>
            <w:vAlign w:val="center"/>
          </w:tcPr>
          <w:p>
            <w:r>
              <w:rPr>
                <w:sz w:val="18"/>
                <w:szCs w:val="18"/>
                <w:color w:val="auto"/>
              </w:rPr>
              <w:t xml:space="preserve">L1–L7 PASS; L8 FAIL</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Eligible model contrast?</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Yes: DKT and T-KT masked</w:t>
            </w:r>
          </w:p>
        </w:tc>
        <w:tc>
          <w:tcPr>
            <w:tcW w:w="2612" w:type="dxa"/>
            <w:tcMar>
              <w:top w:w="10" w:type="dxa"/>
              <w:left w:w="20" w:type="dxa"/>
              <w:bottom w:w="10" w:type="dxa"/>
              <w:right w:w="20" w:type="dxa"/>
            </w:tcMar>
            <w:vAlign w:val="center"/>
          </w:tcPr>
          <w:p>
            <w:r>
              <w:rPr>
                <w:sz w:val="18"/>
                <w:szCs w:val="18"/>
                <w:color w:val="auto"/>
              </w:rPr>
              <w:t xml:space="preserve">Post-hoc medium versus dense (DKT)</w:t>
            </w:r>
          </w:p>
        </w:tc>
        <w:tc>
          <w:tcPr>
            <w:tcW w:w="2612" w:type="dxa"/>
            <w:tcMar>
              <w:top w:w="10" w:type="dxa"/>
              <w:left w:w="20" w:type="dxa"/>
              <w:bottom w:w="10" w:type="dxa"/>
              <w:right w:w="20" w:type="dxa"/>
            </w:tcMar>
            <w:vAlign w:val="center"/>
          </w:tcPr>
          <w:p>
            <w:r>
              <w:rPr>
                <w:sz w:val="18"/>
                <w:szCs w:val="18"/>
                <w:color w:val="auto"/>
              </w:rPr>
              <w:t xml:space="preserve">No</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Direction</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Mean ΔECE and G positive for both models; G positive in every partition; ΔECE* mixed in sign</w:t>
            </w:r>
          </w:p>
        </w:tc>
        <w:tc>
          <w:tcPr>
            <w:tcW w:w="2612" w:type="dxa"/>
            <w:tcMar>
              <w:top w:w="10" w:type="dxa"/>
              <w:left w:w="20" w:type="dxa"/>
              <w:bottom w:w="10" w:type="dxa"/>
              <w:right w:w="20" w:type="dxa"/>
            </w:tcMar>
            <w:vAlign w:val="center"/>
          </w:tcPr>
          <w:p>
            <w:r>
              <w:rPr>
                <w:sz w:val="18"/>
                <w:szCs w:val="18"/>
                <w:color w:val="auto"/>
              </w:rPr>
              <w:t xml:space="preserve">Mean ΔECE 0.0302 and G 0.0115 positive; ΔECE* −0.0032</w:t>
            </w:r>
          </w:p>
        </w:tc>
        <w:tc>
          <w:tcPr>
            <w:tcW w:w="2612" w:type="dxa"/>
            <w:tcMar>
              <w:top w:w="10" w:type="dxa"/>
              <w:left w:w="20" w:type="dxa"/>
              <w:bottom w:w="10" w:type="dxa"/>
              <w:right w:w="20" w:type="dxa"/>
            </w:tcMar>
            <w:vAlign w:val="center"/>
          </w:tcPr>
          <w:p>
            <w:r>
              <w:rPr>
                <w:sz w:val="18"/>
                <w:szCs w:val="18"/>
                <w:color w:val="auto"/>
              </w:rPr>
              <w:t xml:space="preserve">Not evaluated</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Uncertainty</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Fold-0 learner-cluster interval of G excludes 0 (primary); per-partition intervals in Table A5 also exclude 0</w:t>
            </w:r>
          </w:p>
        </w:tc>
        <w:tc>
          <w:tcPr>
            <w:tcW w:w="2612" w:type="dxa"/>
            <w:tcMar>
              <w:top w:w="10" w:type="dxa"/>
              <w:left w:w="20" w:type="dxa"/>
              <w:bottom w:w="10" w:type="dxa"/>
              <w:right w:w="20" w:type="dxa"/>
            </w:tcMar>
            <w:vAlign w:val="center"/>
          </w:tcPr>
          <w:p>
            <w:r>
              <w:rPr>
                <w:sz w:val="18"/>
                <w:szCs w:val="18"/>
                <w:color w:val="auto"/>
              </w:rPr>
              <w:t xml:space="preserve">Fold-0 interval of G 0.0010 to 0.0434; post-hoc</w:t>
            </w:r>
          </w:p>
        </w:tc>
        <w:tc>
          <w:tcPr>
            <w:tcW w:w="2612" w:type="dxa"/>
            <w:tcMar>
              <w:top w:w="10" w:type="dxa"/>
              <w:left w:w="20" w:type="dxa"/>
              <w:bottom w:w="10" w:type="dxa"/>
              <w:right w:w="20" w:type="dxa"/>
            </w:tcMar>
            <w:vAlign w:val="center"/>
          </w:tcPr>
          <w:p>
            <w:r>
              <w:rPr>
                <w:sz w:val="18"/>
                <w:szCs w:val="18"/>
                <w:color w:val="auto"/>
              </w:rPr>
              <w:t xml:space="preserve">Not evaluated</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Protocol/evidence status</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Primary protocol; primary evidence</w:t>
            </w:r>
          </w:p>
        </w:tc>
        <w:tc>
          <w:tcPr>
            <w:tcW w:w="2612" w:type="dxa"/>
            <w:tcMar>
              <w:top w:w="10" w:type="dxa"/>
              <w:left w:w="20" w:type="dxa"/>
              <w:bottom w:w="10" w:type="dxa"/>
              <w:right w:w="20" w:type="dxa"/>
            </w:tcMar>
            <w:vAlign w:val="center"/>
          </w:tcPr>
          <w:p>
            <w:r>
              <w:rPr>
                <w:sz w:val="18"/>
                <w:szCs w:val="18"/>
                <w:color w:val="auto"/>
              </w:rPr>
              <w:t xml:space="preserve">Primary-protocol rules; post-hoc, not pre-specified</w:t>
            </w:r>
          </w:p>
        </w:tc>
        <w:tc>
          <w:tcPr>
            <w:tcW w:w="2612" w:type="dxa"/>
            <w:tcMar>
              <w:top w:w="10" w:type="dxa"/>
              <w:left w:w="20" w:type="dxa"/>
              <w:bottom w:w="10" w:type="dxa"/>
              <w:right w:w="20" w:type="dxa"/>
            </w:tcMar>
            <w:vAlign w:val="center"/>
          </w:tcPr>
          <w:p>
            <w:r>
              <w:rPr>
                <w:sz w:val="18"/>
                <w:szCs w:val="18"/>
                <w:color w:val="auto"/>
              </w:rPr>
              <w:t xml:space="preserve">Descriptive only</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bl>
    <w:p w:rsidR="00332BC5" w:rsidRPr="00E61DEF" w:rsidRDefault="00EF6C3D" w:rsidP="00F076D7">
      <w:pPr>
        <w:pStyle w:val="figurecaption0"/>
        <w:keepNext/>
        <w:spacing w:before="80" w:after="40"/>
      </w:pPr>
      <w:r>
        <w:rPr>
          <w:color w:val="auto"/>
        </w:rPr>
        <w:lastRenderedPageBreak/>
        <w:t xml:space="preserve"/>
      </w:r>
      <w:r>
        <w:rPr>
          <w:i/>
        </w:rPr>
        <w:t/>
      </w:r>
      <w:r>
        <w:rPr>
          <w:vertAlign w:val="subscript"/>
        </w:rPr>
        <w:t/>
      </w:r>
      <w:r>
        <w:t xml:space="preserve"/>
      </w:r>
      <w:r>
        <w:rPr>
          <w:i/>
        </w:rPr>
        <w:t/>
      </w:r>
      <w:r>
        <w:rPr>
          <w:vertAlign w:val="subscript"/>
        </w:rPr>
        <w:t/>
      </w:r>
      <w:r>
        <w:t xml:space="preserve"/>
      </w:r>
    </w:p>
    <w:p w:rsidR="00332BC5" w:rsidRPr="00E61DEF" w:rsidRDefault="00EF6C3D" w:rsidP="00F076D7">
      <w:pPr>
        <w:pStyle w:val="figurecaption0"/>
        <w:keepNext/>
        <w:spacing w:before="80" w:after="40"/>
      </w:pPr>
      <w:r>
        <w:rPr>
          <w:color w:val="auto"/>
        </w:rPr>
        <w:lastRenderedPageBreak/>
        <w:t xml:space="preserve">Table 7. Counts and structural descriptors by dataset. Train-derived rows use the fold-0 training split and the KCs present in it; test-derived rows are mean counts over the four unique partitions of the split files (KC-level rows for XES3G5M), except the primary-protocol sparse N, which counts nonempty windows as in Table 5. ρ is Spearman’s correlation with log(1 + ftrain). Support: R, Reliable; L, Limited; I, Insufficient. XES3G5M is descriptive only.</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11"/>
        <w:gridCol w:w="2612"/>
        <w:gridCol w:w="2612"/>
      </w:tblGrid>
      <w:tr w:rsidR="003E6F92">
        <w:trPr>
          <w:cantSplit/>
          <w:tblHeader/>
          <w:jc w:val="center"/>
        </w:trPr>
        <w:tc>
          <w:tcPr>
            <w:tcW w:w="2200" w:type="dxa"/>
            <w:tcMar>
              <w:top w:w="10" w:type="dxa"/>
              <w:left w:w="20" w:type="dxa"/>
              <w:bottom w:w="10" w:type="dxa"/>
              <w:right w:w="20" w:type="dxa"/>
            </w:tcMar>
            <w:vAlign w:val="center"/>
          </w:tcPr>
          <w:p>
            <w:r>
              <w:rPr>
                <w:sz w:val="18"/>
                <w:szCs w:val="18"/>
                <w:color w:val="auto"/>
              </w:rPr>
              <w:t xml:space="preserve">Quantity</w:t>
            </w:r>
          </w:p>
        </w:tc>
        <w:tc>
          <w:tcPr>
            <w:tcW w:w="2611" w:type="dxa"/>
            <w:tcMar>
              <w:top w:w="10" w:type="dxa"/>
              <w:left w:w="20" w:type="dxa"/>
              <w:bottom w:w="10" w:type="dxa"/>
              <w:right w:w="20" w:type="dxa"/>
            </w:tcMar>
            <w:vAlign w:val="center"/>
          </w:tcPr>
          <w:p>
            <w:r>
              <w:rPr>
                <w:sz w:val="18"/>
                <w:szCs w:val="18"/>
                <w:color w:val="auto"/>
              </w:rPr>
              <w:t xml:space="preserve">ASSISTments 2012</w:t>
            </w:r>
            <w:r>
              <w:rPr>
                <w:sz w:val="18"/>
                <w:szCs w:val="18"/>
              </w:rPr>
              <w:t xml:space="preserve"/>
            </w:r>
            <w:r>
              <w:rPr>
                <w:sz w:val="18"/>
                <w:szCs w:val="18"/>
                <w:color w:val="auto"/>
              </w:rPr>
              <w:t/>
            </w:r>
          </w:p>
        </w:tc>
        <w:tc>
          <w:tcPr>
            <w:tcW w:w="2612" w:type="dxa"/>
            <w:tcMar>
              <w:top w:w="10" w:type="dxa"/>
              <w:left w:w="20" w:type="dxa"/>
              <w:bottom w:w="10" w:type="dxa"/>
              <w:right w:w="20" w:type="dxa"/>
            </w:tcMar>
            <w:vAlign w:val="center"/>
          </w:tcPr>
          <w:p>
            <w:r>
              <w:rPr>
                <w:sz w:val="18"/>
                <w:szCs w:val="18"/>
                <w:color w:val="auto"/>
              </w:rPr>
              <w:t xml:space="preserve">Junyi Academy</w:t>
            </w:r>
            <w:r>
              <w:rPr>
                <w:sz w:val="18"/>
                <w:szCs w:val="18"/>
              </w:rPr>
              <w:t xml:space="preserve"/>
            </w:r>
            <w:r>
              <w:rPr>
                <w:sz w:val="18"/>
                <w:szCs w:val="18"/>
                <w:color w:val="auto"/>
              </w:rPr>
              <w:t/>
            </w:r>
          </w:p>
        </w:tc>
        <w:tc>
          <w:tcPr>
            <w:tcW w:w="2612" w:type="dxa"/>
            <w:tcMar>
              <w:top w:w="10" w:type="dxa"/>
              <w:left w:w="20" w:type="dxa"/>
              <w:bottom w:w="10" w:type="dxa"/>
              <w:right w:w="20" w:type="dxa"/>
            </w:tcMar>
            <w:vAlign w:val="center"/>
          </w:tcPr>
          <w:p>
            <w:r>
              <w:rPr>
                <w:sz w:val="18"/>
                <w:szCs w:val="18"/>
                <w:color w:val="auto"/>
              </w:rPr>
              <w:t xml:space="preserve">XES3G5M</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Train-derived (fold 0)</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KCs present in training</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265</w:t>
            </w:r>
          </w:p>
        </w:tc>
        <w:tc>
          <w:tcPr>
            <w:tcW w:w="2612" w:type="dxa"/>
            <w:tcMar>
              <w:top w:w="10" w:type="dxa"/>
              <w:left w:w="20" w:type="dxa"/>
              <w:bottom w:w="10" w:type="dxa"/>
              <w:right w:w="20" w:type="dxa"/>
            </w:tcMar>
            <w:vAlign w:val="center"/>
          </w:tcPr>
          <w:p>
            <w:r>
              <w:rPr>
                <w:sz w:val="18"/>
                <w:szCs w:val="18"/>
                <w:color w:val="auto"/>
              </w:rPr>
              <w:t xml:space="preserve">1,326</w:t>
            </w:r>
          </w:p>
        </w:tc>
        <w:tc>
          <w:tcPr>
            <w:tcW w:w="2612" w:type="dxa"/>
            <w:tcMar>
              <w:top w:w="10" w:type="dxa"/>
              <w:left w:w="20" w:type="dxa"/>
              <w:bottom w:w="10" w:type="dxa"/>
              <w:right w:w="20" w:type="dxa"/>
            </w:tcMar>
            <w:vAlign w:val="center"/>
          </w:tcPr>
          <w:p>
            <w:r>
              <w:rPr>
                <w:sz w:val="18"/>
                <w:szCs w:val="18"/>
                <w:color w:val="auto"/>
              </w:rPr>
              <w:t xml:space="preserve">854</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KCs with ftrain &lt; 100 (E1)</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18.9%</w:t>
            </w:r>
          </w:p>
        </w:tc>
        <w:tc>
          <w:tcPr>
            <w:tcW w:w="2612" w:type="dxa"/>
            <w:tcMar>
              <w:top w:w="10" w:type="dxa"/>
              <w:left w:w="20" w:type="dxa"/>
              <w:bottom w:w="10" w:type="dxa"/>
              <w:right w:w="20" w:type="dxa"/>
            </w:tcMar>
            <w:vAlign w:val="center"/>
          </w:tcPr>
          <w:p>
            <w:r>
              <w:rPr>
                <w:sz w:val="18"/>
                <w:szCs w:val="18"/>
                <w:color w:val="auto"/>
              </w:rPr>
              <w:t xml:space="preserve">0.0%</w:t>
            </w:r>
          </w:p>
        </w:tc>
        <w:tc>
          <w:tcPr>
            <w:tcW w:w="2612" w:type="dxa"/>
            <w:tcMar>
              <w:top w:w="10" w:type="dxa"/>
              <w:left w:w="20" w:type="dxa"/>
              <w:bottom w:w="10" w:type="dxa"/>
              <w:right w:w="20" w:type="dxa"/>
            </w:tcMar>
            <w:vAlign w:val="center"/>
          </w:tcPr>
          <w:p>
            <w:r>
              <w:rPr>
                <w:sz w:val="18"/>
                <w:szCs w:val="18"/>
                <w:color w:val="auto"/>
              </w:rPr>
              <w:t xml:space="preserve">21.5%</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KCs very sparse / sparse / medium / dense</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11 / 39 / 68 / 147</w:t>
            </w:r>
          </w:p>
        </w:tc>
        <w:tc>
          <w:tcPr>
            <w:tcW w:w="2612" w:type="dxa"/>
            <w:tcMar>
              <w:top w:w="10" w:type="dxa"/>
              <w:left w:w="20" w:type="dxa"/>
              <w:bottom w:w="10" w:type="dxa"/>
              <w:right w:w="20" w:type="dxa"/>
            </w:tcMar>
            <w:vAlign w:val="center"/>
          </w:tcPr>
          <w:p>
            <w:r>
              <w:rPr>
                <w:sz w:val="18"/>
                <w:szCs w:val="18"/>
                <w:color w:val="auto"/>
              </w:rPr>
              <w:t xml:space="preserve">0 / 0 / 33 / 1,293</w:t>
            </w:r>
          </w:p>
        </w:tc>
        <w:tc>
          <w:tcPr>
            <w:tcW w:w="2612" w:type="dxa"/>
            <w:tcMar>
              <w:top w:w="10" w:type="dxa"/>
              <w:left w:w="20" w:type="dxa"/>
              <w:bottom w:w="10" w:type="dxa"/>
              <w:right w:w="20" w:type="dxa"/>
            </w:tcMar>
            <w:vAlign w:val="center"/>
          </w:tcPr>
          <w:p>
            <w:r>
              <w:rPr>
                <w:sz w:val="18"/>
                <w:szCs w:val="18"/>
                <w:color w:val="auto"/>
              </w:rPr>
              <w:t xml:space="preserve">62 / 122 / 172 / 498</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Strict cold-start KCs in fold-0 test</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0</w:t>
            </w:r>
          </w:p>
        </w:tc>
        <w:tc>
          <w:tcPr>
            <w:tcW w:w="2612" w:type="dxa"/>
            <w:tcMar>
              <w:top w:w="10" w:type="dxa"/>
              <w:left w:w="20" w:type="dxa"/>
              <w:bottom w:w="10" w:type="dxa"/>
              <w:right w:w="20" w:type="dxa"/>
            </w:tcMar>
            <w:vAlign w:val="center"/>
          </w:tcPr>
          <w:p>
            <w:r>
              <w:rPr>
                <w:sz w:val="18"/>
                <w:szCs w:val="18"/>
                <w:color w:val="auto"/>
              </w:rPr>
              <w:t xml:space="preserve">0</w:t>
            </w:r>
          </w:p>
        </w:tc>
        <w:tc>
          <w:tcPr>
            <w:tcW w:w="2612" w:type="dxa"/>
            <w:tcMar>
              <w:top w:w="10" w:type="dxa"/>
              <w:left w:w="20" w:type="dxa"/>
              <w:bottom w:w="10" w:type="dxa"/>
              <w:right w:w="20" w:type="dxa"/>
            </w:tcMar>
            <w:vAlign w:val="center"/>
          </w:tcPr>
          <w:p>
            <w:r>
              <w:rPr>
                <w:sz w:val="18"/>
                <w:szCs w:val="18"/>
                <w:color w:val="auto"/>
              </w:rPr>
              <w:t xml:space="preserve">3</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Median ftrain per KC</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988</w:t>
            </w:r>
          </w:p>
        </w:tc>
        <w:tc>
          <w:tcPr>
            <w:tcW w:w="2612" w:type="dxa"/>
            <w:tcMar>
              <w:top w:w="10" w:type="dxa"/>
              <w:left w:w="20" w:type="dxa"/>
              <w:bottom w:w="10" w:type="dxa"/>
              <w:right w:w="20" w:type="dxa"/>
            </w:tcMar>
            <w:vAlign w:val="center"/>
          </w:tcPr>
          <w:p>
            <w:r>
              <w:rPr>
                <w:sz w:val="18"/>
                <w:szCs w:val="18"/>
                <w:color w:val="auto"/>
              </w:rPr>
              <w:t xml:space="preserve">7,074</w:t>
            </w:r>
          </w:p>
        </w:tc>
        <w:tc>
          <w:tcPr>
            <w:tcW w:w="2612" w:type="dxa"/>
            <w:tcMar>
              <w:top w:w="10" w:type="dxa"/>
              <w:left w:w="20" w:type="dxa"/>
              <w:bottom w:w="10" w:type="dxa"/>
              <w:right w:w="20" w:type="dxa"/>
            </w:tcMar>
            <w:vAlign w:val="center"/>
          </w:tcPr>
          <w:p>
            <w:r>
              <w:rPr>
                <w:sz w:val="18"/>
                <w:szCs w:val="18"/>
                <w:color w:val="auto"/>
              </w:rPr>
              <w:t xml:space="preserve">1,002</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Test-derived (mean over four partitions)</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Sparse-group test rows (E2)</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415 (L)</w:t>
            </w:r>
          </w:p>
        </w:tc>
        <w:tc>
          <w:tcPr>
            <w:tcW w:w="2612" w:type="dxa"/>
            <w:tcMar>
              <w:top w:w="10" w:type="dxa"/>
              <w:left w:w="20" w:type="dxa"/>
              <w:bottom w:w="10" w:type="dxa"/>
              <w:right w:w="20" w:type="dxa"/>
            </w:tcMar>
            <w:vAlign w:val="center"/>
          </w:tcPr>
          <w:p>
            <w:r>
              <w:rPr>
                <w:sz w:val="18"/>
                <w:szCs w:val="18"/>
                <w:color w:val="auto"/>
              </w:rPr>
              <w:t xml:space="preserve">empty</w:t>
            </w:r>
          </w:p>
        </w:tc>
        <w:tc>
          <w:tcPr>
            <w:tcW w:w="2612" w:type="dxa"/>
            <w:tcMar>
              <w:top w:w="10" w:type="dxa"/>
              <w:left w:w="20" w:type="dxa"/>
              <w:bottom w:w="10" w:type="dxa"/>
              <w:right w:w="20" w:type="dxa"/>
            </w:tcMar>
            <w:vAlign w:val="center"/>
          </w:tcPr>
          <w:p>
            <w:r>
              <w:rPr>
                <w:sz w:val="18"/>
                <w:szCs w:val="18"/>
                <w:color w:val="auto"/>
              </w:rPr>
              <w:t xml:space="preserve">1,969 (R)</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Very-sparse test rows</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17 (I)</w:t>
            </w:r>
          </w:p>
        </w:tc>
        <w:tc>
          <w:tcPr>
            <w:tcW w:w="2612" w:type="dxa"/>
            <w:tcMar>
              <w:top w:w="10" w:type="dxa"/>
              <w:left w:w="20" w:type="dxa"/>
              <w:bottom w:w="10" w:type="dxa"/>
              <w:right w:w="20" w:type="dxa"/>
            </w:tcMar>
            <w:vAlign w:val="center"/>
          </w:tcPr>
          <w:p>
            <w:r>
              <w:rPr>
                <w:sz w:val="18"/>
                <w:szCs w:val="18"/>
                <w:color w:val="auto"/>
              </w:rPr>
              <w:t xml:space="preserve">empty</w:t>
            </w:r>
          </w:p>
        </w:tc>
        <w:tc>
          <w:tcPr>
            <w:tcW w:w="2612" w:type="dxa"/>
            <w:tcMar>
              <w:top w:w="10" w:type="dxa"/>
              <w:left w:w="20" w:type="dxa"/>
              <w:bottom w:w="10" w:type="dxa"/>
              <w:right w:w="20" w:type="dxa"/>
            </w:tcMar>
            <w:vAlign w:val="center"/>
          </w:tcPr>
          <w:p>
            <w:r>
              <w:rPr>
                <w:sz w:val="18"/>
                <w:szCs w:val="18"/>
                <w:color w:val="auto"/>
              </w:rPr>
              <w:t xml:space="preserve">114 (L)</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Strict cold-start test rows</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1 (I; nonempty in 1 of 4)</w:t>
            </w:r>
          </w:p>
        </w:tc>
        <w:tc>
          <w:tcPr>
            <w:tcW w:w="2612" w:type="dxa"/>
            <w:tcMar>
              <w:top w:w="10" w:type="dxa"/>
              <w:left w:w="20" w:type="dxa"/>
              <w:bottom w:w="10" w:type="dxa"/>
              <w:right w:w="20" w:type="dxa"/>
            </w:tcMar>
            <w:vAlign w:val="center"/>
          </w:tcPr>
          <w:p>
            <w:r>
              <w:rPr>
                <w:sz w:val="18"/>
                <w:szCs w:val="18"/>
                <w:color w:val="auto"/>
              </w:rPr>
              <w:t xml:space="preserve">empty</w:t>
            </w:r>
          </w:p>
        </w:tc>
        <w:tc>
          <w:tcPr>
            <w:tcW w:w="2612" w:type="dxa"/>
            <w:tcMar>
              <w:top w:w="10" w:type="dxa"/>
              <w:left w:w="20" w:type="dxa"/>
              <w:bottom w:w="10" w:type="dxa"/>
              <w:right w:w="20" w:type="dxa"/>
            </w:tcMar>
            <w:vAlign w:val="center"/>
          </w:tcPr>
          <w:p>
            <w:r>
              <w:rPr>
                <w:sz w:val="18"/>
                <w:szCs w:val="18"/>
                <w:color w:val="auto"/>
              </w:rPr>
              <w:t xml:space="preserve">5 (I; nonempty in 4 of 4)</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Mean sparse N, primary protocol</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398 (L)</w:t>
            </w:r>
          </w:p>
        </w:tc>
        <w:tc>
          <w:tcPr>
            <w:tcW w:w="2612" w:type="dxa"/>
            <w:tcMar>
              <w:top w:w="10" w:type="dxa"/>
              <w:left w:w="20" w:type="dxa"/>
              <w:bottom w:w="10" w:type="dxa"/>
              <w:right w:w="20" w:type="dxa"/>
            </w:tcMar>
            <w:vAlign w:val="center"/>
          </w:tcPr>
          <w:p>
            <w:r>
              <w:rPr>
                <w:sz w:val="18"/>
                <w:szCs w:val="18"/>
                <w:color w:val="auto"/>
              </w:rPr>
              <w:t xml:space="preserve">No sparse group</w:t>
            </w:r>
          </w:p>
        </w:tc>
        <w:tc>
          <w:tcPr>
            <w:tcW w:w="2612" w:type="dxa"/>
            <w:tcMar>
              <w:top w:w="10" w:type="dxa"/>
              <w:left w:w="20" w:type="dxa"/>
              <w:bottom w:w="10" w:type="dxa"/>
              <w:right w:w="20" w:type="dxa"/>
            </w:tcMar>
            <w:vAlign w:val="center"/>
          </w:tcPr>
          <w:p>
            <w:r>
              <w:rPr>
                <w:sz w:val="18"/>
                <w:szCs w:val="18"/>
                <w:color w:val="auto"/>
              </w:rPr>
              <w:t xml:space="preserve">Not evaluated (descriptive only)</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Structural descriptors (fold-0 training)</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p>
        </w:tc>
        <w:tc>
          <w:tcPr>
            <w:tcW w:w="2612" w:type="dxa"/>
            <w:tcMar>
              <w:top w:w="10" w:type="dxa"/>
              <w:left w:w="20" w:type="dxa"/>
              <w:bottom w:w="10" w:type="dxa"/>
              <w:right w:w="20" w:type="dxa"/>
            </w:tcMar>
            <w:vAlign w:val="center"/>
          </w:tcPr>
          <w:p>
            <w:r>
              <w:rPr>
                <w:sz w:val="18"/>
                <w:szCs w:val="18"/>
                <w:color w:val="auto"/>
              </w:rPr>
              <w:t xml:space="preserve"/>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Frequency–difficulty ρ</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−0.241</w:t>
            </w:r>
          </w:p>
        </w:tc>
        <w:tc>
          <w:tcPr>
            <w:tcW w:w="2612" w:type="dxa"/>
            <w:tcMar>
              <w:top w:w="10" w:type="dxa"/>
              <w:left w:w="20" w:type="dxa"/>
              <w:bottom w:w="10" w:type="dxa"/>
              <w:right w:w="20" w:type="dxa"/>
            </w:tcMar>
            <w:vAlign w:val="center"/>
          </w:tcPr>
          <w:p>
            <w:r>
              <w:rPr>
                <w:sz w:val="18"/>
                <w:szCs w:val="18"/>
                <w:color w:val="auto"/>
              </w:rPr>
              <w:t xml:space="preserve">−0.416</w:t>
            </w:r>
          </w:p>
        </w:tc>
        <w:tc>
          <w:tcPr>
            <w:tcW w:w="2612" w:type="dxa"/>
            <w:tcMar>
              <w:top w:w="10" w:type="dxa"/>
              <w:left w:w="20" w:type="dxa"/>
              <w:bottom w:w="10" w:type="dxa"/>
              <w:right w:w="20" w:type="dxa"/>
            </w:tcMar>
            <w:vAlign w:val="center"/>
          </w:tcPr>
          <w:p>
            <w:r>
              <w:rPr>
                <w:sz w:val="18"/>
                <w:szCs w:val="18"/>
                <w:color w:val="auto"/>
              </w:rPr>
              <w:t xml:space="preserve">+0.110</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Median item support</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32 (dense 198; sparse 1)</w:t>
            </w:r>
          </w:p>
        </w:tc>
        <w:tc>
          <w:tcPr>
            <w:tcW w:w="2612" w:type="dxa"/>
            <w:tcMar>
              <w:top w:w="10" w:type="dxa"/>
              <w:left w:w="20" w:type="dxa"/>
              <w:bottom w:w="10" w:type="dxa"/>
              <w:right w:w="20" w:type="dxa"/>
            </w:tcMar>
            <w:vAlign w:val="center"/>
          </w:tcPr>
          <w:p>
            <w:r>
              <w:rPr>
                <w:sz w:val="18"/>
                <w:szCs w:val="18"/>
                <w:color w:val="auto"/>
              </w:rPr>
              <w:t xml:space="preserve">18 (dense 18; sparse –)</w:t>
            </w:r>
          </w:p>
        </w:tc>
        <w:tc>
          <w:tcPr>
            <w:tcW w:w="2612" w:type="dxa"/>
            <w:tcMar>
              <w:top w:w="10" w:type="dxa"/>
              <w:left w:w="20" w:type="dxa"/>
              <w:bottom w:w="10" w:type="dxa"/>
              <w:right w:w="20" w:type="dxa"/>
            </w:tcMar>
            <w:vAlign w:val="center"/>
          </w:tcPr>
          <w:p>
            <w:r>
              <w:rPr>
                <w:sz w:val="18"/>
                <w:szCs w:val="18"/>
                <w:color w:val="auto"/>
              </w:rPr>
              <w:t xml:space="preserve">3 (dense 9; sparse 1)</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r w:rsidR="003E6F92">
        <w:trPr>
          <w:cantSplit/>
          <w:jc w:val="center"/>
        </w:trPr>
        <w:tc>
          <w:tcPr>
            <w:tcW w:w="2200" w:type="dxa"/>
            <w:tcMar>
              <w:top w:w="10" w:type="dxa"/>
              <w:left w:w="20" w:type="dxa"/>
              <w:bottom w:w="10" w:type="dxa"/>
              <w:right w:w="20" w:type="dxa"/>
            </w:tcMar>
            <w:vAlign w:val="center"/>
          </w:tcPr>
          <w:p>
            <w:r>
              <w:rPr>
                <w:sz w:val="18"/>
                <w:szCs w:val="18"/>
                <w:color w:val="auto"/>
              </w:rPr>
              <w:t xml:space="preserve">Frequency–position ρ</w:t>
            </w:r>
            <w:r>
              <w:rPr>
                <w:sz w:val="18"/>
                <w:szCs w:val="18"/>
              </w:rPr>
              <w:t xml:space="preserve"/>
            </w:r>
            <w:r>
              <w:rPr>
                <w:sz w:val="18"/>
                <w:szCs w:val="18"/>
                <w:color w:val="auto"/>
              </w:rPr>
              <w:t/>
            </w:r>
            <w:r>
              <w:rPr>
                <w:sz w:val="18"/>
                <w:szCs w:val="18"/>
              </w:rPr>
              <w:t xml:space="preserve"/>
            </w:r>
            <w:r>
              <w:rPr>
                <w:sz w:val="18"/>
                <w:szCs w:val="18"/>
                <w:color w:val="auto"/>
              </w:rPr>
              <w:t/>
            </w:r>
          </w:p>
        </w:tc>
        <w:tc>
          <w:tcPr>
            <w:tcW w:w="2611" w:type="dxa"/>
            <w:tcMar>
              <w:top w:w="10" w:type="dxa"/>
              <w:left w:w="20" w:type="dxa"/>
              <w:bottom w:w="10" w:type="dxa"/>
              <w:right w:w="20" w:type="dxa"/>
            </w:tcMar>
            <w:vAlign w:val="center"/>
          </w:tcPr>
          <w:p>
            <w:r>
              <w:rPr>
                <w:sz w:val="18"/>
                <w:szCs w:val="18"/>
                <w:color w:val="auto"/>
              </w:rPr>
              <w:t xml:space="preserve">−0.326</w:t>
            </w:r>
          </w:p>
        </w:tc>
        <w:tc>
          <w:tcPr>
            <w:tcW w:w="2612" w:type="dxa"/>
            <w:tcMar>
              <w:top w:w="10" w:type="dxa"/>
              <w:left w:w="20" w:type="dxa"/>
              <w:bottom w:w="10" w:type="dxa"/>
              <w:right w:w="20" w:type="dxa"/>
            </w:tcMar>
            <w:vAlign w:val="center"/>
          </w:tcPr>
          <w:p>
            <w:r>
              <w:rPr>
                <w:sz w:val="18"/>
                <w:szCs w:val="18"/>
                <w:color w:val="auto"/>
              </w:rPr>
              <w:t xml:space="preserve">−0.324</w:t>
            </w:r>
          </w:p>
        </w:tc>
        <w:tc>
          <w:tcPr>
            <w:tcW w:w="2612" w:type="dxa"/>
            <w:tcMar>
              <w:top w:w="10" w:type="dxa"/>
              <w:left w:w="20" w:type="dxa"/>
              <w:bottom w:w="10" w:type="dxa"/>
              <w:right w:w="20" w:type="dxa"/>
            </w:tcMar>
            <w:vAlign w:val="center"/>
          </w:tcPr>
          <w:p>
            <w:r>
              <w:rPr>
                <w:sz w:val="18"/>
                <w:szCs w:val="18"/>
                <w:color w:val="auto"/>
              </w:rPr>
              <w:t xml:space="preserve">−0.126</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r>
              <w:rPr>
                <w:sz w:val="18"/>
                <w:szCs w:val="18"/>
              </w:rPr>
              <w:t xml:space="preserve"/>
            </w:r>
            <w:r>
              <w:rPr>
                <w:sz w:val="18"/>
                <w:szCs w:val="18"/>
                <w:color w:val="auto"/>
              </w:rPr>
              <w:t/>
            </w:r>
          </w:p>
        </w:tc>
      </w:tr>
    </w:tbl>
    <w:p w:rsidR="00AE5052" w:rsidRDefault="008F3D6E"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rPr>
          <w:color w:val="auto"/>
        </w:rPr>
        <w:t xml:space="preserve">Fig. 3. ASSISTments 2012, primary protocol, fold 0: reliability diagrams for DKT (left) and T-KT masked (right), 15 equal-width bins, nonempty windows. Sparse group N = 430 (Limited); dense group N = 521,348 (Reliable).</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r>
      <w:r/>
      <w:r>
        <w:rPr>
          <w:color w:val="000000"/>
        </w:rPr>
      </w:r>
      <w:r>
        <w:rPr>
          <w:color w:val="000000"/>
        </w:rPr>
      </w:r>
      <w:r>
        <w:rPr/>
      </w:r>
      <w:r/>
      <w:r>
        <w:rPr>
          <w:color w:val="000000"/>
        </w:rPr>
      </w:r>
      <w:r>
        <w:rPr/>
      </w:r>
      <w:r>
        <w:rPr>
          <w:color w:val="000000"/>
        </w:rPr>
      </w:r>
      <w:r>
        <w:rPr>
          <w:color w:val="000000"/>
        </w:rPr>
      </w:r>
      <w:r>
        <w:rPr/>
      </w:r>
      <w:r>
        <w:rPr>
          <w:color w:val="000000"/>
        </w:rPr>
      </w:r>
      <w:r/>
      <w:r>
        <w:rPr/>
      </w:r>
      <w:r>
        <w:rPr>
          <w:color w:val="000000"/>
        </w:rPr>
      </w:r>
      <w:r>
        <w:rPr/>
      </w:r>
      <w:r>
        <w:rPr>
          <w:color w:val="000000"/>
        </w:rPr>
      </w:r>
      <w:r>
        <w:rPr>
          <w:color w:val="000000"/>
        </w:rPr>
      </w:r>
      <w:r>
        <w:rPr/>
      </w:r>
      <w:r>
        <w:rPr>
          <w:color w:val="000000"/>
        </w:rPr>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rPr>
          <w:color w:val="auto"/>
        </w:rPr>
        <w:lastRenderedPageBreak/>
        <w:t xml:space="preserve">D. Sensitivity to checkpoint and test window</w:t>
      </w:r>
    </w:p>
    <w:p w:rsidR="00C62791" w:rsidRDefault="00AA3681" w:rsidP="00607E6B">
      <w:pPr>
        <w:pStyle w:val="Text"/>
        <w:spacing w:line="252" w:lineRule="exact"/>
      </w:pPr>
      <w:r>
        <w:rPr>
          <w:color w:val="auto"/>
        </w:rPr>
        <w:t xml:space="preserve">Table A2 is the ASSISTments DKT grid of checkpoint and test window; every cell is ΔECE, and no cell is missing. At a fixed test window, the validation-AUC checkpoint had a lower ΔECE than the final checkpoint in all five runs. This checkpoint-associated difference ranged from 0.0181 to 0.0774 (0.0217 to 0.0774 with windows of 200 and 0.0181 to 0.0729 with the full history). At a fixed checkpoint, the window-associated change (window 200 minus full history) ranged from −0.0131 to +0.0068 and had no consistent sign. The two runs that share one learner partition (folds 2 and 3) differ by up to 0.0268 in the final/full cell, which exceeds the smallest checkpoint-associated differences. The direction of the checkpoint-associated difference was therefore consistent across the reported runs, but its magnitude comes from one model on one dataset and is not a general causal estimate. Final × full versus validation × window 200 changes both factors and is not assigned to either alone. Raw ΔECE stays positive in every cell; ΔECE* in the primary cell is positive only in fold 1. Alternative frequency cut points were not evaluated under the primary protocol.</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r>
      <w:r>
        <w:rPr>
          <w:color w:val="000000"/>
        </w:rPr>
      </w:r>
      <w:r/>
      <w:r>
        <w:rPr>
          <w:color w:val="000000"/>
        </w:rPr>
      </w:r>
      <w:r>
        <w:rPr/>
      </w:r>
      <w:r>
        <w:rPr>
          <w:color w:val="000000"/>
        </w:rPr>
      </w:r>
      <w:r>
        <w:rPr/>
      </w:r>
      <w:r/>
      <w:r>
        <w:rPr/>
      </w:r>
      <w:r>
        <w:rPr>
          <w:color w:val="000000"/>
        </w:rPr>
      </w:r>
      <w:r/>
    </w:p>
    <w:p w:rsidR="00C62791" w:rsidRDefault="00C10D83" w:rsidP="00607E6B">
      <w:pPr>
        <w:pStyle w:val="Heading2"/>
        <w:numPr>
          <w:ilvl w:val="0"/>
          <w:numId w:val="0"/>
        </w:numPr>
      </w:pPr>
      <w:r>
        <w:t xml:space="preserve">E. Threshold analysis</w:t>
      </w:r>
    </w:p>
    <w:p w:rsidR="00C62791" w:rsidRDefault="00AA3681" w:rsidP="00607E6B">
      <w:pPr>
        <w:pStyle w:val="Text"/>
        <w:spacing w:line="252" w:lineRule="exact"/>
      </w:pPr>
      <w:r>
        <w:rPr>
          <w:color w:val="auto"/>
        </w:rPr>
        <w:t xml:space="preserve">At τ = 0.7 on fold 0 (Table A3), DKT advanced 200 of 430 sparse responses and 300,610 of 521,348 dense responses. FAR was 0.215 on sparse and 0.179 on dense components, so ΔFAR = 0.036, with a KC-clustered 95% interval of −0.041 to 0.125. For T-KT masked, FAR was 0.232 and 0.182, and ΔFAR = 0.051 (−0.019 to 0.141). Both fold-0 intervals for ΔFAR include 0. Observed FAR exceeded the model’s own expected FAR on sparse components by 0.073 for DKT and 0.113 for T-KT masked, against 0.001 and 0.006 on dense components. Across the four unique partitions (Table A4), mean ΔFAR was 0.021 ± 0.019 for DKT and 0.036 ± 0.038 for T-KT masked, and it was positive in 3 of the 4 partitions for DKT and 3 of the 4 for T-KT masked. The sparse advance sets are small, so these figures describe one threshold on these partitions. They are not evidence that sparse advances fail more often in general.</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rPr>
          <w:color w:val="auto"/>
        </w:rPr>
        <w:t xml:space="preserve">The results support a limited claim. Overall AUC can hide frequency-stratified calibration differences. Both primary models showed the difference; its observed magnitude differed between them and across partitions, checkpoints, and datasets. Where a sign varied, it was the sign of the bias reference ΔECE*, not the presence of the calibration difference. On ASSISTments 2012, DKT and T-KT masked have a positive raw ΔECE and a positive size-matched gap. The fold-0 interval for that gap excludes 0. ΔECE* does not exclude a small-sample explanation on every partition, and it is not a significance test. The fold-0 interval is not evidence that all four partitions are significant. Junyi Academy has no sparse group. Its post-hoc ΔECE* is −0.0032. XES3G5M is a descriptive audit only. The study does not claim that a validation checkpoint removes sparse miscalibration, and it does not claim that the final checkpoint causes it.</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
        <w:rPr/>
      </w:r>
      <w:r>
        <w:rPr>
          <w:color w:val="000000"/>
        </w:rPr>
      </w:r>
      <w:r>
        <w:rPr/>
      </w:r>
      <w:r/>
      <w:r>
        <w:rPr>
          <w:i/>
        </w:rPr>
      </w:r>
      <w:r/>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rPr>
          <w:color w:val="auto"/>
        </w:rPr>
        <w:t xml:space="preserve">The datasets differ first in whether a sparse contrast exists (Table 6). Junyi Academy’s exercise-level components all have at least 100 training responses under this split, so the sparse group is empty. ASSISTments 2012 has a Limited sparse group and is the only dataset with a primary model contrast. XES3G5M can describe frequency and estimability, but its model scores were produced by a route that fails L8. Those scores are excluded. The two primary models showed the same direction with different observed magnitudes. simpleKT was not a primary comparison. The study does not identify a mechanism that would make rare practice itself the cause of miscalibration.</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rPr>
          <w:color w:val="auto"/>
        </w:rPr>
        <w:t xml:space="preserve">Several limits qualify these findings. The label is the next response, not a mastery decision, and no classroom trial was run. The primary contrast is one dataset, ASSISTments 2012, with a Limited sparse group. Four unique partitions describe variability. They are not four independent population samples, and fold 2 is the same learners as fold 3. ΔECE* is a bias reference. The primary matched interval covers fold 0 only; the Table A5 intervals for the other partitions are supplementary. T-KT masked changed the mask, the checkpoint, and the window together. Junyi DKT is post-hoc. Junyi T-KT was not retrained with a mask. XES3G5M is a descriptive audit only. BKT was not scored. FAR uses one threshold, and its interval covers fold 0 only. None of the analyses identifies a causal effect of training frequency on calibration.</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
        <w:rPr/>
      </w:r>
      <w:r>
        <w:rPr>
          <w:color w:val="000000"/>
        </w:rPr>
      </w:r>
      <w:r>
        <w:rPr>
          <w:color w:val="000000"/>
        </w:rPr>
      </w:r>
      <w:r/>
      <w:r>
        <w:rPr/>
      </w:r>
      <w:r>
        <w:rPr>
          <w:color w:val="000000"/>
        </w:rPr>
      </w:r>
      <w:r/>
      <w:r>
        <w:rPr>
          <w:color w:val="000000"/>
        </w:rPr>
      </w:r>
      <w:r>
        <w:rPr/>
      </w:r>
      <w:r/>
      <w:r>
        <w:rPr/>
      </w:r>
      <w:r/>
      <w:r>
        <w:rPr>
          <w:color w:val="000000"/>
        </w:rPr>
      </w:r>
      <w:r>
        <w:rPr/>
      </w:r>
      <w:r/>
      <w:r>
        <w:rPr>
          <w:color w:val="000000"/>
        </w:rPr>
      </w:r>
      <w:r>
        <w:rPr/>
      </w:r>
      <w:r>
        <w:rPr>
          <w:color w:val="000000"/>
        </w:rPr>
      </w:r>
      <w:r/>
      <w:r>
        <w:rPr>
          <w:color w:val="000000"/>
        </w:rPr>
      </w:r>
      <w:r>
        <w:rPr/>
      </w:r>
      <w:r/>
      <w:r>
        <w:rP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Pr/>
      </w:r>
      <w:r>
        <w:rPr>
          <w:color w:val="000000"/>
        </w:rPr>
      </w:r>
      <w:r/>
      <w:r>
        <w:rPr/>
      </w:r>
      <w:r>
        <w:rPr>
          <w:color w:val="000000"/>
        </w:rPr>
      </w:r>
      <w:r>
        <w:rPr>
          <w:color w:val="000000"/>
        </w:rPr>
      </w:r>
      <w:r/>
      <w:r>
        <w:rPr>
          <w:color w:val="000000"/>
        </w:rPr>
      </w:r>
      <w:r>
        <w:rPr>
          <w:color w:val="000000"/>
        </w:rPr>
      </w:r>
      <w:r>
        <w:rPr/>
      </w:r>
      <w:r>
        <w:rPr>
          <w:color w:val="000000"/>
        </w:rPr>
      </w:r>
      <w:r>
        <w:rPr/>
      </w:r>
      <w:r>
        <w:rPr>
          <w:color w:val="000000"/>
        </w:rPr>
      </w:r>
      <w:r>
        <w:rPr>
          <w:color w:val="000000"/>
        </w:rPr>
      </w:r>
      <w:r>
        <w:rPr>
          <w:color w:val="000000"/>
        </w:rPr>
      </w:r>
      <w:r>
        <w:rPr>
          <w:color w:val="000000"/>
        </w:rPr>
      </w:r>
      <w:r/>
      <w:r>
        <w:rPr/>
      </w:r>
      <w:r>
        <w:rPr>
          <w:color w:val="000000"/>
        </w:rPr>
      </w:r>
      <w:r>
        <w:rPr>
          <w:color w:val="000000"/>
        </w:rPr>
      </w:r>
      <w:r>
        <w:rPr>
          <w:color w:val="000000"/>
        </w:rPr>
      </w:r>
      <w:r>
        <w:rPr/>
      </w:r>
      <w:r>
        <w:rPr>
          <w:color w:val="000000"/>
        </w:rPr>
      </w:r>
      <w:r/>
      <w:r>
        <w:rPr/>
      </w:r>
      <w:r>
        <w:rPr>
          <w:color w:val="000000"/>
        </w:rPr>
      </w:r>
      <w:r>
        <w:rPr>
          <w:color w:val="000000"/>
        </w:rPr>
      </w:r>
      <w:r>
        <w:rPr>
          <w:color w:val="000000"/>
        </w:rPr>
      </w:r>
      <w:r>
        <w:rPr>
          <w:color w:val="000000"/>
        </w:rPr>
      </w:r>
      <w:r>
        <w:rPr>
          <w:color w:val="000000"/>
        </w:rPr>
      </w:r>
      <w:r>
        <w:rPr/>
      </w:r>
      <w:r/>
      <w:r>
        <w:rPr/>
      </w:r>
      <w:r>
        <w:rPr>
          <w:color w:val="000000"/>
        </w:rPr>
      </w:r>
      <w:r>
        <w:rPr/>
      </w:r>
      <w:r/>
      <w:r>
        <w:rPr/>
      </w:r>
      <w:r/>
      <w:r>
        <w:rPr/>
      </w:r>
      <w:r>
        <w:rPr>
          <w:color w:val="000000"/>
        </w:rPr>
      </w:r>
      <w:r>
        <w:rPr>
          <w:color w:val="000000"/>
        </w:rPr>
      </w:r>
      <w:r>
        <w:rPr>
          <w:color w:val="000000"/>
        </w:rPr>
      </w:r>
      <w:r>
        <w:rPr/>
      </w:r>
      <w:r>
        <w:rPr>
          <w:color w:val="000000"/>
        </w:rPr>
      </w:r>
      <w:r/>
      <w:r>
        <w:rPr/>
      </w:r>
      <w:r>
        <w:rPr>
          <w:color w:val="000000"/>
        </w:rPr>
      </w:r>
      <w:r>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
        <w:rPr>
          <w:color w:val="000000"/>
        </w:rPr>
      </w:r>
      <w:r>
        <w:rPr>
          <w:color w:val="000000"/>
        </w:rPr>
      </w:r>
      <w:r>
        <w:rPr/>
      </w:r>
      <w:r/>
      <w:r>
        <w:rPr/>
      </w:r>
      <w:r>
        <w:rPr>
          <w:color w:val="000000"/>
        </w:rPr>
      </w:r>
      <w:r>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
        <w:rPr/>
      </w:r>
      <w:r>
        <w:rPr>
          <w:color w:val="000000"/>
        </w:rPr>
      </w:r>
      <w:r>
        <w:rPr/>
      </w:r>
      <w:r>
        <w:rPr>
          <w:color w:val="000000"/>
        </w:rPr>
      </w:r>
      <w:r>
        <w:rPr>
          <w:color w:val="000000"/>
        </w:rPr>
      </w:r>
      <w:r>
        <w:rPr>
          <w:color w:val="000000"/>
        </w:rPr>
      </w:r>
      <w:r>
        <w:rPr>
          <w:color w:val="000000"/>
        </w:rPr>
      </w:r>
      <w:r>
        <w:rPr>
          <w:color w:val="000000"/>
        </w:rPr>
      </w:r>
      <w:r>
        <w:rPr/>
      </w:r>
      <w:r>
        <w:rPr>
          <w:color w:val="000000"/>
        </w:rPr>
      </w:r>
      <w:r/>
      <w:r>
        <w:rPr/>
      </w:r>
      <w:r>
        <w:rPr>
          <w:color w:val="000000"/>
        </w:rPr>
      </w:r>
      <w:r/>
      <w:r>
        <w:rPr/>
      </w:r>
      <w:r>
        <w:rPr>
          <w:color w:val="000000"/>
        </w:rPr>
      </w:r>
      <w:r>
        <w:rPr>
          <w:color w:val="000000"/>
        </w:rPr>
      </w:r>
      <w:r>
        <w:rPr>
          <w:color w:val="000000"/>
        </w:rPr>
      </w:r>
      <w:r>
        <w:rPr>
          <w:color w:val="000000"/>
        </w:rPr>
      </w:r>
      <w:r>
        <w:rPr>
          <w:color w:val="000000"/>
        </w:rPr>
      </w:r>
      <w:r>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rPr>
          <w:color w:val="auto"/>
        </w:rPr>
        <w:t xml:space="preserve">Overall AUC can hide frequency-stratified calibration differences. The observed magnitude differed between the two primary models and across checkpoints, partitions, and datasets; these are descriptive differences, not designed comparisons. On ASSISTments 2012, under the primary protocol, DKT and a causally masked Transformer show a higher sparse ECE than dense ECE. The fold-0 size-matched interval excludes 0. The four-partition bias reference ΔECE* is −0.0081 for DKT and 0.0068 for the masked Transformer, and that reference is not a significance test. Junyi Academy has no sparse group; its post-hoc ΔECE* is −0.0032. XES3G5M is a descriptive audit only, with no model-based result. The study does not recommend a new tracing model or a classroom policy. It asks evaluations that feed instructional rules to report calibration and support by training frequency, and to keep the bias reference separate from a size-matched interval.</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r>
      <w:r>
        <w:rPr>
          <w:color w:val="000000"/>
        </w:rPr>
      </w:r>
      <w:r>
        <w:rPr/>
      </w:r>
      <w:r/>
      <w:r>
        <w:rPr>
          <w:color w:val="000000"/>
        </w:rPr>
      </w:r>
      <w:r>
        <w:rPr/>
      </w:r>
      <w:r>
        <w:rPr>
          <w:color w:val="000000"/>
        </w:rPr>
      </w:r>
      <w:r>
        <w:rPr/>
      </w:r>
      <w:r/>
      <w:r>
        <w:rPr/>
      </w:r>
      <w:r>
        <w:rPr>
          <w:color w:val="000000"/>
        </w:rPr>
      </w:r>
      <w:r/>
      <w:r>
        <w:rPr/>
      </w:r>
      <w:r>
        <w:rPr>
          <w:color w:val="000000"/>
        </w:rPr>
      </w:r>
      <w:r/>
      <w:r>
        <w:rPr>
          <w:color w:val="000000"/>
        </w:rPr>
      </w:r>
      <w:r>
        <w:rPr>
          <w:color w:val="000000"/>
        </w:rPr>
      </w:r>
      <w:r>
        <w:rPr>
          <w:color w:val="000000"/>
        </w:rPr>
      </w:r>
      <w:r>
        <w:rPr>
          <w:color w:val="000000"/>
        </w:rPr>
      </w:r>
      <w:r>
        <w:rPr>
          <w:color w:val="000000"/>
        </w:rPr>
      </w:r>
      <w:r>
        <w:rPr>
          <w:color w:val="000000"/>
        </w:rPr>
      </w:r>
      <w:r>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
        <w:rPr/>
      </w:r>
      <w:r>
        <w:rPr>
          <w:color w:val="000000"/>
        </w:rPr>
      </w:r>
      <w:r>
        <w:rPr/>
      </w:r>
      <w:r/>
      <w:r>
        <w:rPr>
          <w:color w:val="000000"/>
        </w:rPr>
      </w:r>
      <w:r>
        <w:rPr>
          <w:color w:val="000000"/>
        </w:rPr>
      </w:r>
      <w:r/>
      <w:r>
        <w:rPr/>
      </w:r>
      <w:r>
        <w:rPr>
          <w:color w:val="000000"/>
        </w:rPr>
      </w:r>
      <w:r>
        <w:rPr/>
      </w:r>
      <w:r/>
      <w:r>
        <w:rPr>
          <w:color w:val="000000"/>
        </w:rPr>
      </w:r>
      <w:r>
        <w:rPr/>
      </w:r>
      <w:r>
        <w:rPr>
          <w:color w:val="000000"/>
        </w:rPr>
      </w:r>
      <w:r>
        <w:rPr>
          <w:color w:val="000000"/>
        </w:rPr>
      </w:r>
      <w:r>
        <w:rPr>
          <w:color w:val="000000"/>
        </w:rPr>
      </w:r>
      <w:r>
        <w:rPr/>
      </w:r>
      <w:r>
        <w:rPr>
          <w:color w:val="000000"/>
        </w:rPr>
      </w:r>
      <w:r/>
    </w:p>
    <w:p w:rsidR="00F81442" w:rsidRPr="0066606C" w:rsidRDefault="0066606C" w:rsidP="00607E6B">
      <w:pPr>
        <w:pStyle w:val="Heading1"/>
        <w:numPr>
          <w:ilvl w:val="0"/>
          <w:numId w:val="0"/>
        </w:numPr>
      </w:pPr>
      <w:r>
        <w:t>APPENDIX</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A1. Group-level discrimination and Brier decomposition under the primary protocol (mean ± SD across four unique partitions; 15 equal-width bins; nonempty windows). N is the mean count, rounded. The base-rate reference predicts each partition’s training proportion correct, so its AUC is 0.5000 and its RES is 0 by construction. simpleKT is sensitivity; Junyi is post-hoc and has no sparse group. REL and RES are binned and biased upward in small groups.</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color w:val="000000"/>
        </w:rPr>
      </w:r>
      <w:r>
        <w:rPr>
          <w:color w:val="000000"/>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157"/>
        <w:gridCol w:w="1235"/>
        <w:gridCol w:w="771"/>
        <w:gridCol w:w="849"/>
        <w:gridCol w:w="1003"/>
        <w:gridCol w:w="1003"/>
        <w:gridCol w:w="1003"/>
        <w:gridCol w:w="1003"/>
        <w:gridCol w:w="1003"/>
        <w:gridCol w:w="1003"/>
      </w:tblGrid>
      <w:tr w:rsidR="003E6F92">
        <w:trPr>
          <w:cantSplit/>
          <w:tblHeader/>
          <w:jc w:val="center"/>
        </w:trPr>
        <w:tc>
          <w:tcPr>
            <w:tcW w:w="1157" w:type="dxa"/>
            <w:tcMar>
              <w:top w:w="10" w:type="dxa"/>
              <w:left w:w="20" w:type="dxa"/>
              <w:bottom w:w="10" w:type="dxa"/>
              <w:right w:w="20" w:type="dxa"/>
            </w:tcMar>
            <w:vAlign w:val="center"/>
          </w:tcPr>
          <w:p w:rsidR="003E6F92" w:rsidRDefault="00B0150D">
            <w:pPr>
              <w:jc w:val="center"/>
              <w:rPr>
                <w:b/>
                <w:sz w:val="16"/>
              </w:rPr>
            </w:pPr>
            <w:r>
              <w:rPr>
                <w:b/>
                <w:sz w:val="16"/>
              </w:rPr>
              <w:t xml:space="preserve">Dataset</w:t>
            </w:r>
          </w:p>
        </w:tc>
        <w:tc>
          <w:tcPr>
            <w:tcW w:w="1235" w:type="dxa"/>
            <w:tcMar>
              <w:top w:w="10" w:type="dxa"/>
              <w:left w:w="20" w:type="dxa"/>
              <w:bottom w:w="10" w:type="dxa"/>
              <w:right w:w="20" w:type="dxa"/>
            </w:tcMar>
            <w:vAlign w:val="center"/>
          </w:tcPr>
          <w:p w:rsidR="003E6F92" w:rsidRDefault="00B0150D">
            <w:pPr>
              <w:jc w:val="center"/>
              <w:rPr>
                <w:b/>
                <w:sz w:val="16"/>
              </w:rPr>
            </w:pPr>
            <w:r>
              <w:rPr>
                <w:b/>
                <w:sz w:val="16"/>
              </w:rPr>
              <w:t xml:space="preserve">Model</w:t>
            </w:r>
          </w:p>
        </w:tc>
        <w:tc>
          <w:tcPr>
            <w:tcW w:w="771" w:type="dxa"/>
            <w:tcMar>
              <w:top w:w="10" w:type="dxa"/>
              <w:left w:w="20" w:type="dxa"/>
              <w:bottom w:w="10" w:type="dxa"/>
              <w:right w:w="20" w:type="dxa"/>
            </w:tcMar>
            <w:vAlign w:val="center"/>
          </w:tcPr>
          <w:p w:rsidR="003E6F92" w:rsidRDefault="00B0150D">
            <w:pPr>
              <w:jc w:val="center"/>
              <w:rPr>
                <w:b/>
                <w:sz w:val="16"/>
              </w:rPr>
            </w:pPr>
            <w:r>
              <w:rPr>
                <w:b/>
                <w:sz w:val="16"/>
              </w:rPr>
              <w:t xml:space="preserve">Group</w:t>
            </w:r>
          </w:p>
        </w:tc>
        <w:tc>
          <w:tcPr>
            <w:tcW w:w="849" w:type="dxa"/>
            <w:tcMar>
              <w:top w:w="10" w:type="dxa"/>
              <w:left w:w="20" w:type="dxa"/>
              <w:bottom w:w="10" w:type="dxa"/>
              <w:right w:w="20" w:type="dxa"/>
            </w:tcMar>
            <w:vAlign w:val="center"/>
          </w:tcPr>
          <w:p w:rsidR="003E6F92" w:rsidRDefault="00B0150D">
            <w:pPr>
              <w:jc w:val="center"/>
              <w:rPr>
                <w:b/>
                <w:sz w:val="16"/>
              </w:rPr>
            </w:pPr>
            <w:r>
              <w:rPr>
                <w:b/>
                <w:sz w:val="16"/>
              </w:rPr>
              <w:t xml:space="preserve">N</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AUC</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ACC</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Brier</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UNC</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REL</w:t>
            </w:r>
          </w:p>
        </w:tc>
        <w:tc>
          <w:tcPr>
            <w:tcW w:w="1003" w:type="dxa"/>
            <w:tcMar>
              <w:top w:w="10" w:type="dxa"/>
              <w:left w:w="20" w:type="dxa"/>
              <w:bottom w:w="10" w:type="dxa"/>
              <w:right w:w="20" w:type="dxa"/>
            </w:tcMar>
            <w:vAlign w:val="center"/>
          </w:tcPr>
          <w:p w:rsidR="003E6F92" w:rsidRDefault="00B0150D">
            <w:pPr>
              <w:jc w:val="center"/>
              <w:rPr>
                <w:b/>
                <w:sz w:val="16"/>
              </w:rPr>
            </w:pPr>
            <w:r>
              <w:rPr>
                <w:b/>
                <w:sz w:val="16"/>
              </w:rPr>
              <w:t xml:space="preserve">RES</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DKT</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sparse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398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0.7670±0.0188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0.7318±0.0132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0.1904±0.0088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0.2356±0.0119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0.0137±0.0026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0.0589±0.0090</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DKT</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5,867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0.8131±0.0125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0.7342±0.0132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0.1758±0.0069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0.2484±0.0013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0.0013±0.0005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0.0733±0.0055</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DKT</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517,330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0.7285±0.0004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0.7354±0.0010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0.1797±0.0004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0.2100±0.0003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0.0001±0.0000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0.0301±0.0001</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T-KT masked</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sparse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398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0.7476±0.0344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0.7198±0.0201</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0.2039±0.0187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0.2356±0.0119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0.0215±0.0076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0.0530±0.0125</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T-KT masked</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5,867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0.8042±0.0114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0.7243±0.0104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0.1820±0.0059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0.2484±0.0013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0.0036±0.0005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0.0695±0.0046</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T-KT masked</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517,330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0.7227±0.0006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0.7315±0.0007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0.1817±0.0004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0.2100±0.0003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0.0004±0.0001</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0.0284±0.0001</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Base rate</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sparse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398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0.6101±0.0556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0.2453±0.0218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0.2356±0.0119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0.0097±0.0100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Base rate</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5,867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0.5363±0.0198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0.2742±0.0078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0.2484±0.0013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0.0258±0.0065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Base rate</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517,330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0.6999±0.0007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0.2100±0.0003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0.2100±0.0003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sparse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398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0.7850±0.0362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0.7363±0.0180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0.1798±0.0112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0.2356±0.0119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0.0128±0.0032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0.0682±0.0152</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5,867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0.8262±0.0106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0.7461±0.0117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0.1700±0.0060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0.2484±0.0013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0.0013±0.0004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0.0793±0.0045</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517,330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0.7698±0.0014</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0.7534±0.0015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0.1686±0.0006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0.2100±0.0003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0.0009±0.0002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0.0420±0.0004</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Junyi (post-hoc)</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DKT</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3,677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0.6998±0.0167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0.6564±0.0147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0.2152±0.0035</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0.2432±0.0013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0.0020±0.0009</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0.0299±0.0043</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Junyi (post-hoc)</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DKT</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3,200,666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0.7554±0.0012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0.7470±0.0013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0.1714±0.0006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0.2078±0.0007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0.0360±0.0004</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Junyi (post-hoc)</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Base rate</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medium</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3,677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0.5822±0.0082</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0.2578±0.0033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0.2432±0.0013</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0.0146±0.0020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r>
      <w:tr w:rsidR="003E6F92">
        <w:trPr>
          <w:cantSplit/>
          <w:jc w:val="center"/>
        </w:trPr>
        <w:tc>
          <w:tcPr>
            <w:tcW w:w="1157" w:type="dxa"/>
            <w:tcMar>
              <w:top w:w="10" w:type="dxa"/>
              <w:left w:w="20" w:type="dxa"/>
              <w:bottom w:w="10" w:type="dxa"/>
              <w:right w:w="20" w:type="dxa"/>
            </w:tcMar>
            <w:vAlign w:val="center"/>
          </w:tcPr>
          <w:p w:rsidR="003E6F92" w:rsidRDefault="00B0150D">
            <w:pPr>
              <w:jc w:val="center"/>
              <w:rPr>
                <w:sz w:val="16"/>
              </w:rPr>
            </w:pPr>
            <w:r>
              <w:rPr>
                <w:sz w:val="16"/>
              </w:rPr>
              <w:t xml:space="preserve">Junyi (post-hoc)</w:t>
            </w:r>
          </w:p>
        </w:tc>
        <w:tc>
          <w:tcPr>
            <w:tcW w:w="1235" w:type="dxa"/>
            <w:tcMar>
              <w:top w:w="10" w:type="dxa"/>
              <w:left w:w="20" w:type="dxa"/>
              <w:bottom w:w="10" w:type="dxa"/>
              <w:right w:w="20" w:type="dxa"/>
            </w:tcMar>
            <w:vAlign w:val="center"/>
          </w:tcPr>
          <w:p w:rsidR="003E6F92" w:rsidRDefault="00B0150D">
            <w:pPr>
              <w:jc w:val="center"/>
              <w:rPr>
                <w:sz w:val="16"/>
              </w:rPr>
            </w:pPr>
            <w:r>
              <w:rPr>
                <w:sz w:val="16"/>
              </w:rPr>
              <w:t xml:space="preserve">Base rate</w:t>
            </w:r>
          </w:p>
        </w:tc>
        <w:tc>
          <w:tcPr>
            <w:tcW w:w="771" w:type="dxa"/>
            <w:tcMar>
              <w:top w:w="10" w:type="dxa"/>
              <w:left w:w="20" w:type="dxa"/>
              <w:bottom w:w="10" w:type="dxa"/>
              <w:right w:w="20" w:type="dxa"/>
            </w:tcMar>
            <w:vAlign w:val="center"/>
          </w:tcPr>
          <w:p w:rsidR="003E6F92" w:rsidRDefault="00B0150D">
            <w:pPr>
              <w:jc w:val="center"/>
              <w:rPr>
                <w:sz w:val="16"/>
              </w:rPr>
            </w:pPr>
            <w:r>
              <w:rPr>
                <w:sz w:val="16"/>
              </w:rPr>
              <w:t xml:space="preserve">dense</w:t>
            </w:r>
          </w:p>
        </w:tc>
        <w:tc>
          <w:tcPr>
            <w:tcW w:w="849" w:type="dxa"/>
            <w:tcMar>
              <w:top w:w="10" w:type="dxa"/>
              <w:left w:w="20" w:type="dxa"/>
              <w:bottom w:w="10" w:type="dxa"/>
              <w:right w:w="20" w:type="dxa"/>
            </w:tcMar>
            <w:vAlign w:val="center"/>
          </w:tcPr>
          <w:p w:rsidR="003E6F92" w:rsidRDefault="00B0150D">
            <w:pPr>
              <w:jc w:val="center"/>
              <w:rPr>
                <w:sz w:val="16"/>
              </w:rPr>
            </w:pPr>
            <w:r>
              <w:rPr>
                <w:sz w:val="16"/>
              </w:rPr>
              <w:t xml:space="preserve">3,200,666</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0.5000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0.7055±0.0018</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0.2078±0.0007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0.2078±0.0007</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c>
          <w:tcPr>
            <w:tcW w:w="1003" w:type="dxa"/>
            <w:tcMar>
              <w:top w:w="10" w:type="dxa"/>
              <w:left w:w="20" w:type="dxa"/>
              <w:bottom w:w="10" w:type="dxa"/>
              <w:right w:w="20" w:type="dxa"/>
            </w:tcMar>
            <w:vAlign w:val="center"/>
          </w:tcPr>
          <w:p w:rsidR="003E6F92" w:rsidRDefault="00B0150D">
            <w:pPr>
              <w:jc w:val="center"/>
              <w:rPr>
                <w:sz w:val="16"/>
              </w:rPr>
            </w:pPr>
            <w:r>
              <w:rPr>
                <w:sz w:val="16"/>
              </w:rPr>
              <w:t xml:space="preserve">0.0000±0.0000</w:t>
            </w:r>
          </w:p>
        </w:tc>
      </w:tr>
    </w:tbl>
    <w:p w:rsidR="00332BC5" w:rsidRPr="00E61DEF" w:rsidRDefault="00EF6C3D" w:rsidP="00F076D7">
      <w:pPr>
        <w:pStyle w:val="figurecaption0"/>
        <w:keepNext/>
        <w:spacing w:before="80" w:after="40"/>
      </w:pPr>
      <w:r>
        <w:t xml:space="preserve">Table A2. </w:t>
      </w:r>
      <w:r>
        <w:rPr>
          <w:color w:val="auto"/>
        </w:rPr>
        <w:t>ASSISTments</w:t>
      </w:r>
      <w:r>
        <w:t xml:space="preserve"> </w:t>
      </w:r>
      <w:r>
        <w:rPr>
          <w:color w:val="auto"/>
        </w:rPr>
        <w:t>DKT</w:t>
      </w:r>
      <w:r>
        <w:t xml:space="preserve"> </w:t>
      </w:r>
      <w:r>
        <w:rPr>
          <w:color w:val="auto"/>
        </w:rPr>
        <w:t>sensitivity</w:t>
      </w:r>
      <w:r>
        <w:t xml:space="preserve"> </w:t>
      </w:r>
      <w:r>
        <w:rPr>
          <w:color w:val="auto"/>
        </w:rPr>
        <w:t>grid.</w:t>
      </w:r>
      <w:r>
        <w:t xml:space="preserve"> </w:t>
      </w:r>
      <w:r>
        <w:rPr>
          <w:color w:val="auto"/>
        </w:rPr>
        <w:t>Each</w:t>
      </w:r>
      <w:r>
        <w:t xml:space="preserve"> </w:t>
      </w:r>
      <w:r>
        <w:rPr>
          <w:color w:val="auto"/>
        </w:rPr>
        <w:t>main</w:t>
      </w:r>
      <w:r>
        <w:t xml:space="preserve"> </w:t>
      </w:r>
      <w:r>
        <w:rPr>
          <w:color w:val="auto"/>
        </w:rPr>
        <w:t>cell</w:t>
      </w:r>
      <w:r>
        <w:t xml:space="preserve"> </w:t>
      </w:r>
      <w:r>
        <w:rPr>
          <w:color w:val="auto"/>
        </w:rPr>
        <w:t>is</w:t>
      </w:r>
      <w:r>
        <w:t xml:space="preserve"> </w:t>
      </w:r>
      <w:r>
        <w:rPr>
          <w:color w:val="auto"/>
        </w:rPr>
        <w:t>ΔECE</w:t>
      </w:r>
      <w:r>
        <w:t xml:space="preserve"> </w:t>
      </w:r>
      <w:r>
        <w:rPr>
          <w:color w:val="auto"/>
        </w:rPr>
        <w:t>=</w:t>
      </w:r>
      <w:r>
        <w:t xml:space="preserve"> ECE </w:t>
      </w:r>
      <w:r>
        <w:rPr>
          <w:color w:val="auto"/>
        </w:rPr>
        <w:t>sparse</w:t>
      </w:r>
      <w:r>
        <w:t xml:space="preserve"> </w:t>
      </w:r>
      <w:r>
        <w:rPr>
          <w:color w:val="auto"/>
        </w:rPr>
        <w:t>−</w:t>
      </w:r>
      <w:r>
        <w:t xml:space="preserve"> </w:t>
      </w:r>
      <w:r>
        <w:rPr>
          <w:color w:val="auto"/>
        </w:rPr>
        <w:t>ECE</w:t>
      </w:r>
      <w:r>
        <w:t xml:space="preserve"> </w:t>
      </w:r>
      <w:r>
        <w:rPr>
          <w:color w:val="auto"/>
        </w:rPr>
        <w:t>dense.</w:t>
      </w:r>
      <w:r>
        <w:t xml:space="preserve"> </w:t>
      </w:r>
      <w:r>
        <w:rPr>
          <w:color w:val="auto"/>
        </w:rPr>
        <w:t>best/200</w:t>
      </w:r>
      <w:r>
        <w:t xml:space="preserve"> </w:t>
      </w:r>
      <w:r>
        <w:rPr>
          <w:color w:val="auto"/>
        </w:rPr>
        <w:t>is</w:t>
      </w:r>
      <w:r>
        <w:t xml:space="preserve"> </w:t>
      </w:r>
      <w:r>
        <w:rPr>
          <w:color w:val="auto"/>
        </w:rPr>
        <w:t>the</w:t>
      </w:r>
      <w:r>
        <w:t xml:space="preserve"> </w:t>
      </w:r>
      <w:r>
        <w:rPr>
          <w:color w:val="auto"/>
        </w:rPr>
        <w:t>primary</w:t>
      </w:r>
      <w:r>
        <w:t xml:space="preserve"> </w:t>
      </w:r>
      <w:r>
        <w:rPr>
          <w:color w:val="auto"/>
        </w:rPr>
        <w:t>protocol.</w:t>
      </w:r>
      <w:r>
        <w:t xml:space="preserve"> ΔECE* in </w:t>
      </w:r>
      <w:r>
        <w:rPr>
          <w:color w:val="auto"/>
        </w:rPr>
        <w:t>the</w:t>
      </w:r>
      <w:r>
        <w:t xml:space="preserve"> </w:t>
      </w:r>
      <w:r>
        <w:rPr>
          <w:color w:val="auto"/>
        </w:rPr>
        <w:t>extra</w:t>
      </w:r>
      <w:r>
        <w:t xml:space="preserve"> </w:t>
      </w:r>
      <w:r>
        <w:rPr>
          <w:color w:val="auto"/>
        </w:rPr>
        <w:t>column</w:t>
      </w:r>
      <w:r>
        <w:t xml:space="preserve"> </w:t>
      </w:r>
      <w:r>
        <w:rPr>
          <w:color w:val="auto"/>
        </w:rPr>
        <w:t>is</w:t>
      </w:r>
      <w:r>
        <w:t xml:space="preserve"> the </w:t>
      </w:r>
      <w:r>
        <w:rPr>
          <w:color w:val="auto"/>
        </w:rPr>
        <w:t>bias</w:t>
      </w:r>
      <w:r>
        <w:t xml:space="preserve"> </w:t>
      </w:r>
      <w:r>
        <w:rPr>
          <w:color w:val="auto"/>
        </w:rPr>
        <w:t>reference</w:t>
      </w:r>
      <w:r>
        <w:t xml:space="preserve"> </w:t>
      </w:r>
      <w:r>
        <w:rPr>
          <w:color w:val="auto"/>
        </w:rPr>
        <w:t>for</w:t>
      </w:r>
      <w:r>
        <w:t xml:space="preserve"> </w:t>
      </w:r>
      <w:r>
        <w:rPr>
          <w:color w:val="auto"/>
        </w:rPr>
        <w:t>that</w:t>
      </w:r>
      <w:r>
        <w:t xml:space="preserve"> </w:t>
      </w:r>
      <w:r>
        <w:rPr>
          <w:color w:val="auto"/>
        </w:rPr>
        <w:t>primary</w:t>
      </w:r>
      <w:r>
        <w:t xml:space="preserve"> </w:t>
      </w:r>
      <w:r>
        <w:rPr>
          <w:color w:val="auto"/>
        </w:rPr>
        <w:t>cell,</w:t>
      </w:r>
      <w:r>
        <w:t xml:space="preserve"> not </w:t>
      </w:r>
      <w:r>
        <w:rPr>
          <w:color w:val="auto"/>
        </w:rPr>
        <w:t>a</w:t>
      </w:r>
      <w:r>
        <w:t xml:space="preserve"> </w:t>
      </w:r>
      <w:r>
        <w:rPr>
          <w:color w:val="auto"/>
        </w:rPr>
        <w:t>confidence</w:t>
      </w:r>
      <w:r>
        <w:t xml:space="preserve"> </w:t>
      </w:r>
      <w:r>
        <w:rPr>
          <w:color w:val="auto"/>
        </w:rPr>
        <w:t>interval.</w:t>
      </w:r>
      <w:r>
        <w:t xml:space="preserve"> </w:t>
      </w:r>
      <w:r>
        <w:rPr>
          <w:color w:val="auto"/>
        </w:rPr>
        <w:t>Fold</w:t>
      </w:r>
      <w:r>
        <w:t xml:space="preserve"> </w:t>
      </w:r>
      <w:r>
        <w:rPr>
          <w:color w:val="auto"/>
        </w:rPr>
        <w:t>2</w:t>
      </w:r>
      <w:r>
        <w:t xml:space="preserve"> </w:t>
      </w:r>
      <w:r>
        <w:rPr>
          <w:color w:val="auto"/>
        </w:rPr>
        <w:t>and</w:t>
      </w:r>
      <w:r>
        <w:t xml:space="preserve"> </w:t>
      </w:r>
      <w:r>
        <w:rPr>
          <w:color w:val="auto"/>
        </w:rPr>
        <w:t>fold</w:t>
      </w:r>
      <w:r>
        <w:t xml:space="preserve"> </w:t>
      </w:r>
      <w:r>
        <w:rPr>
          <w:color w:val="auto"/>
        </w:rPr>
        <w:t>3</w:t>
      </w:r>
      <w:r>
        <w:t xml:space="preserve"> </w:t>
      </w:r>
      <w:r>
        <w:rPr>
          <w:color w:val="auto"/>
        </w:rPr>
        <w:t>share</w:t>
      </w:r>
      <w:r>
        <w:t xml:space="preserve"> </w:t>
      </w:r>
      <w:r>
        <w:rPr>
          <w:color w:val="auto"/>
        </w:rPr>
        <w:t>learners.</w:t>
      </w:r>
      <w:r>
        <w:t xml:space="preserve"> </w:t>
      </w:r>
      <w:r>
        <w:rPr>
          <w:color w:val="auto"/>
        </w:rPr>
        <w:t>No</w:t>
      </w:r>
      <w:r>
        <w:t xml:space="preserve"> </w:t>
      </w:r>
      <w:r>
        <w:rPr>
          <w:color w:val="auto"/>
        </w:rPr>
        <w:t>cell</w:t>
      </w:r>
      <w:r>
        <w:t xml:space="preserve"> </w:t>
      </w:r>
      <w:r>
        <w:rPr>
          <w:color w:val="auto"/>
        </w:rPr>
        <w:t>is</w:t>
      </w:r>
      <w:r>
        <w:t xml:space="preserve"> </w:t>
      </w:r>
      <w:r>
        <w:rPr>
          <w:color w:val="auto"/>
        </w:rPr>
        <w:t>missing.</w:t>
      </w:r>
      <w:r>
        <w:t xml:space="preserve"> </w:t>
      </w:r>
      <w:r>
        <w:rPr>
          <w:color w:val="auto"/>
        </w:rPr>
        <w:t>This</w:t>
      </w:r>
      <w:r>
        <w:t xml:space="preserve"> </w:t>
      </w:r>
      <w:r>
        <w:rPr>
          <w:color w:val="auto"/>
        </w:rPr>
        <w:t>table</w:t>
      </w:r>
      <w:r>
        <w:t xml:space="preserve"> </w:t>
      </w:r>
      <w:r>
        <w:rPr>
          <w:color w:val="auto"/>
        </w:rPr>
        <w:t>does</w:t>
      </w:r>
      <w:r>
        <w:t xml:space="preserve"> </w:t>
      </w:r>
      <w:r>
        <w:rPr>
          <w:color w:val="auto"/>
        </w:rPr>
        <w:t>not</w:t>
      </w:r>
      <w:r>
        <w:t xml:space="preserve"> </w:t>
      </w:r>
      <w:r>
        <w:rPr>
          <w:color w:val="auto"/>
        </w:rPr>
        <w:t>attribute</w:t>
      </w:r>
      <w:r>
        <w:t xml:space="preserve"> </w:t>
      </w:r>
      <w:r>
        <w:rPr>
          <w:color w:val="auto"/>
        </w:rPr>
        <w:t>the</w:t>
      </w:r>
      <w:r>
        <w:t xml:space="preserve"> </w:t>
      </w:r>
      <w:r>
        <w:rPr>
          <w:color w:val="auto"/>
        </w:rPr>
        <w:t>final/full</w:t>
      </w:r>
      <w:r>
        <w:t xml:space="preserve"> </w:t>
      </w:r>
      <w:r>
        <w:rPr>
          <w:color w:val="auto"/>
        </w:rPr>
        <w:t>versus</w:t>
      </w:r>
      <w:r>
        <w:t xml:space="preserve"> </w:t>
      </w:r>
      <w:r>
        <w:rPr>
          <w:color w:val="auto"/>
        </w:rPr>
        <w:t>best/200</w:t>
      </w:r>
      <w:r>
        <w:t xml:space="preserve"> </w:t>
      </w:r>
      <w:r>
        <w:rPr>
          <w:color w:val="auto"/>
        </w:rPr>
        <w:t>gap</w:t>
      </w:r>
      <w:r>
        <w:t xml:space="preserve"> </w:t>
      </w:r>
      <w:r>
        <w:rPr>
          <w:color w:val="auto"/>
        </w:rPr>
        <w:t>to</w:t>
      </w:r>
      <w:r>
        <w:t xml:space="preserve"> </w:t>
      </w:r>
      <w:r>
        <w:rPr>
          <w:color w:val="auto"/>
        </w:rPr>
        <w:t>one</w:t>
      </w:r>
      <w:r>
        <w:t xml:space="preserve"> </w:t>
      </w:r>
      <w:r>
        <w:rPr>
          <w:color w:val="auto"/>
        </w:rPr>
        <w:t>factor.</w:t>
      </w:r>
      <w:r>
        <w:rPr>
          <w:color w:val="000000"/>
        </w:rPr>
      </w:r>
      <w:r>
        <w:rPr/>
      </w:r>
      <w:r/>
      <w:r>
        <w:rPr>
          <w:i/>
        </w:rPr>
      </w:r>
      <w:r>
        <w:rPr>
          <w:vertAlign w:val="subscript"/>
        </w:rPr>
      </w:r>
      <w:r/>
      <w:r>
        <w:rPr>
          <w:i/>
        </w:rPr>
      </w:r>
      <w:r>
        <w:rPr>
          <w:vertAlign w:val="subscript"/>
        </w:rPr>
      </w:r>
      <w:r/>
      <w:r>
        <w:rPr>
          <w:i/>
        </w:rPr>
      </w:r>
      <w:r>
        <w:rPr>
          <w:vertAlign w:val="subscript"/>
        </w:rPr>
      </w:r>
      <w:r/>
      <w:r>
        <w:rPr>
          <w:i/>
        </w:rPr>
      </w:r>
      <w:r>
        <w:rPr>
          <w:vertAlign w:val="subscript"/>
        </w:rPr>
      </w:r>
      <w:r/>
      <w:r>
        <w:rPr>
          <w:i/>
        </w:rPr>
      </w:r>
      <w:r>
        <w:rPr>
          <w:vertAlign w:val="subscript"/>
        </w:rPr>
      </w:r>
      <w:r/>
      <w:r>
        <w:rPr>
          <w:vertAlign w:val="subscript"/>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433"/>
        <w:gridCol w:w="1433"/>
        <w:gridCol w:w="1433"/>
        <w:gridCol w:w="1433"/>
        <w:gridCol w:w="1433"/>
        <w:gridCol w:w="1433"/>
        <w:gridCol w:w="1433"/>
      </w:tblGrid>
      <w:tr w:rsidR="003E6F92">
        <w:trPr>
          <w:cantSplit/>
          <w:tblHeader/>
          <w:jc w:val="center"/>
        </w:trPr>
        <w:tc>
          <w:tcPr>
            <w:tcW w:w="1433" w:type="dxa"/>
            <w:tcMar>
              <w:top w:w="10" w:type="dxa"/>
              <w:left w:w="20" w:type="dxa"/>
              <w:bottom w:w="10" w:type="dxa"/>
              <w:right w:w="20" w:type="dxa"/>
            </w:tcMar>
            <w:vAlign w:val="center"/>
          </w:tcPr>
          <w:p>
            <w:r>
              <w:rPr>
                <w:color w:val="auto"/>
              </w:rPr>
              <w:t xml:space="preserve">Fold</w:t>
            </w:r>
          </w:p>
        </w:tc>
        <w:tc>
          <w:tcPr>
            <w:tcW w:w="1433" w:type="dxa"/>
            <w:tcMar>
              <w:top w:w="10" w:type="dxa"/>
              <w:left w:w="20" w:type="dxa"/>
              <w:bottom w:w="10" w:type="dxa"/>
              <w:right w:w="20" w:type="dxa"/>
            </w:tcMar>
            <w:vAlign w:val="center"/>
          </w:tcPr>
          <w:p>
            <w:r>
              <w:rPr>
                <w:color w:val="auto"/>
              </w:rPr>
              <w:t xml:space="preserve">final/full</w:t>
            </w:r>
          </w:p>
        </w:tc>
        <w:tc>
          <w:tcPr>
            <w:tcW w:w="1433" w:type="dxa"/>
            <w:tcMar>
              <w:top w:w="10" w:type="dxa"/>
              <w:left w:w="20" w:type="dxa"/>
              <w:bottom w:w="10" w:type="dxa"/>
              <w:right w:w="20" w:type="dxa"/>
            </w:tcMar>
            <w:vAlign w:val="center"/>
          </w:tcPr>
          <w:p>
            <w:r>
              <w:rPr>
                <w:color w:val="auto"/>
              </w:rPr>
              <w:t xml:space="preserve">final/200</w:t>
            </w:r>
          </w:p>
        </w:tc>
        <w:tc>
          <w:tcPr>
            <w:tcW w:w="1433" w:type="dxa"/>
            <w:tcMar>
              <w:top w:w="10" w:type="dxa"/>
              <w:left w:w="20" w:type="dxa"/>
              <w:bottom w:w="10" w:type="dxa"/>
              <w:right w:w="20" w:type="dxa"/>
            </w:tcMar>
            <w:vAlign w:val="center"/>
          </w:tcPr>
          <w:p>
            <w:r>
              <w:rPr>
                <w:color w:val="auto"/>
              </w:rPr>
              <w:t xml:space="preserve">best/full</w:t>
            </w:r>
          </w:p>
        </w:tc>
        <w:tc>
          <w:tcPr>
            <w:tcW w:w="1433" w:type="dxa"/>
            <w:tcMar>
              <w:top w:w="10" w:type="dxa"/>
              <w:left w:w="20" w:type="dxa"/>
              <w:bottom w:w="10" w:type="dxa"/>
              <w:right w:w="20" w:type="dxa"/>
            </w:tcMar>
            <w:vAlign w:val="center"/>
          </w:tcPr>
          <w:p>
            <w:r>
              <w:rPr>
                <w:color w:val="auto"/>
              </w:rPr>
              <w:t xml:space="preserve">best/200</w:t>
            </w:r>
          </w:p>
        </w:tc>
        <w:tc>
          <w:tcPr>
            <w:tcW w:w="1433" w:type="dxa"/>
            <w:tcMar>
              <w:top w:w="10" w:type="dxa"/>
              <w:left w:w="20" w:type="dxa"/>
              <w:bottom w:w="10" w:type="dxa"/>
              <w:right w:w="20" w:type="dxa"/>
            </w:tcMar>
            <w:vAlign w:val="center"/>
          </w:tcPr>
          <w:p>
            <w:r>
              <w:rPr>
                <w:color w:val="auto"/>
              </w:rPr>
              <w:t xml:space="preserve">ΔECE* best/200</w:t>
            </w:r>
            <w:r>
              <w:t xml:space="preserve"/>
            </w:r>
            <w:r>
              <w:rPr>
                <w:color w:val="auto"/>
              </w:rPr>
              <w:t/>
            </w:r>
          </w:p>
        </w:tc>
        <w:tc>
          <w:tcPr>
            <w:tcW w:w="1433" w:type="dxa"/>
            <w:tcMar>
              <w:top w:w="10" w:type="dxa"/>
              <w:left w:w="20" w:type="dxa"/>
              <w:bottom w:w="10" w:type="dxa"/>
              <w:right w:w="20" w:type="dxa"/>
            </w:tcMar>
            <w:vAlign w:val="center"/>
          </w:tcPr>
          <w:p>
            <w:r>
              <w:rPr>
                <w:color w:val="auto"/>
              </w:rPr>
              <w:t xml:space="preserve">N sparse best/200</w:t>
            </w:r>
            <w:r>
              <w:t xml:space="preserve"/>
            </w:r>
            <w:r>
              <w:rPr>
                <w:color w:val="auto"/>
              </w:rPr>
              <w:t/>
            </w:r>
            <w:r>
              <w:t xml:space="preserve"/>
            </w:r>
            <w:r>
              <w:rPr>
                <w:color w:val="auto"/>
              </w:rPr>
              <w:t/>
            </w:r>
          </w:p>
        </w:tc>
      </w:tr>
      <w:tr w:rsidR="003E6F92">
        <w:trPr>
          <w:cantSplit/>
          <w:jc w:val="center"/>
        </w:trPr>
        <w:tc>
          <w:tcPr>
            <w:tcW w:w="1433" w:type="dxa"/>
            <w:tcMar>
              <w:top w:w="10" w:type="dxa"/>
              <w:left w:w="20" w:type="dxa"/>
              <w:bottom w:w="10" w:type="dxa"/>
              <w:right w:w="20" w:type="dxa"/>
            </w:tcMar>
            <w:vAlign w:val="center"/>
          </w:tcPr>
          <w:p>
            <w:r>
              <w:rPr>
                <w:color w:val="auto"/>
              </w:rPr>
              <w:t xml:space="preserve">fold 0</w:t>
            </w:r>
            <w:r>
              <w:t xml:space="preserve"/>
            </w:r>
            <w:r>
              <w:rPr>
                <w:color w:val="auto"/>
              </w:rPr>
              <w:t/>
            </w:r>
          </w:p>
        </w:tc>
        <w:tc>
          <w:tcPr>
            <w:tcW w:w="1433" w:type="dxa"/>
            <w:tcMar>
              <w:top w:w="10" w:type="dxa"/>
              <w:left w:w="20" w:type="dxa"/>
              <w:bottom w:w="10" w:type="dxa"/>
              <w:right w:w="20" w:type="dxa"/>
            </w:tcMar>
            <w:vAlign w:val="center"/>
          </w:tcPr>
          <w:p>
            <w:r>
              <w:rPr>
                <w:color w:val="auto"/>
              </w:rPr>
              <w:t xml:space="preserve">0.1689</w:t>
            </w:r>
          </w:p>
        </w:tc>
        <w:tc>
          <w:tcPr>
            <w:tcW w:w="1433" w:type="dxa"/>
            <w:tcMar>
              <w:top w:w="10" w:type="dxa"/>
              <w:left w:w="20" w:type="dxa"/>
              <w:bottom w:w="10" w:type="dxa"/>
              <w:right w:w="20" w:type="dxa"/>
            </w:tcMar>
            <w:vAlign w:val="center"/>
          </w:tcPr>
          <w:p>
            <w:r>
              <w:rPr>
                <w:color w:val="auto"/>
              </w:rPr>
              <w:t xml:space="preserve">0.1620</w:t>
            </w:r>
          </w:p>
        </w:tc>
        <w:tc>
          <w:tcPr>
            <w:tcW w:w="1433" w:type="dxa"/>
            <w:tcMar>
              <w:top w:w="10" w:type="dxa"/>
              <w:left w:w="20" w:type="dxa"/>
              <w:bottom w:w="10" w:type="dxa"/>
              <w:right w:w="20" w:type="dxa"/>
            </w:tcMar>
            <w:vAlign w:val="center"/>
          </w:tcPr>
          <w:p>
            <w:r>
              <w:rPr>
                <w:color w:val="auto"/>
              </w:rPr>
              <w:t xml:space="preserve">0.0977</w:t>
            </w:r>
          </w:p>
        </w:tc>
        <w:tc>
          <w:tcPr>
            <w:tcW w:w="1433" w:type="dxa"/>
            <w:tcMar>
              <w:top w:w="10" w:type="dxa"/>
              <w:left w:w="20" w:type="dxa"/>
              <w:bottom w:w="10" w:type="dxa"/>
              <w:right w:w="20" w:type="dxa"/>
            </w:tcMar>
            <w:vAlign w:val="center"/>
          </w:tcPr>
          <w:p>
            <w:r>
              <w:rPr>
                <w:color w:val="auto"/>
              </w:rPr>
              <w:t xml:space="preserve">0.0846</w:t>
            </w:r>
          </w:p>
        </w:tc>
        <w:tc>
          <w:tcPr>
            <w:tcW w:w="1433" w:type="dxa"/>
            <w:tcMar>
              <w:top w:w="10" w:type="dxa"/>
              <w:left w:w="20" w:type="dxa"/>
              <w:bottom w:w="10" w:type="dxa"/>
              <w:right w:w="20" w:type="dxa"/>
            </w:tcMar>
            <w:vAlign w:val="center"/>
          </w:tcPr>
          <w:p>
            <w:r>
              <w:rPr>
                <w:color w:val="auto"/>
              </w:rPr>
              <w:t xml:space="preserve">-0.0088</w:t>
            </w:r>
          </w:p>
        </w:tc>
        <w:tc>
          <w:tcPr>
            <w:tcW w:w="1433" w:type="dxa"/>
            <w:tcMar>
              <w:top w:w="10" w:type="dxa"/>
              <w:left w:w="20" w:type="dxa"/>
              <w:bottom w:w="10" w:type="dxa"/>
              <w:right w:w="20" w:type="dxa"/>
            </w:tcMar>
            <w:vAlign w:val="center"/>
          </w:tcPr>
          <w:p>
            <w:r>
              <w:rPr>
                <w:color w:val="auto"/>
              </w:rPr>
              <w:t xml:space="preserve">430</w:t>
            </w:r>
          </w:p>
        </w:tc>
      </w:tr>
      <w:tr w:rsidR="003E6F92">
        <w:trPr>
          <w:cantSplit/>
          <w:jc w:val="center"/>
        </w:trPr>
        <w:tc>
          <w:tcPr>
            <w:tcW w:w="1433" w:type="dxa"/>
            <w:tcMar>
              <w:top w:w="10" w:type="dxa"/>
              <w:left w:w="20" w:type="dxa"/>
              <w:bottom w:w="10" w:type="dxa"/>
              <w:right w:w="20" w:type="dxa"/>
            </w:tcMar>
            <w:vAlign w:val="center"/>
          </w:tcPr>
          <w:p>
            <w:r>
              <w:rPr>
                <w:color w:val="auto"/>
              </w:rPr>
              <w:t xml:space="preserve">fold 1</w:t>
            </w:r>
            <w:r>
              <w:t xml:space="preserve"/>
            </w:r>
            <w:r>
              <w:rPr>
                <w:color w:val="auto"/>
              </w:rPr>
              <w:t/>
            </w:r>
          </w:p>
        </w:tc>
        <w:tc>
          <w:tcPr>
            <w:tcW w:w="1433" w:type="dxa"/>
            <w:tcMar>
              <w:top w:w="10" w:type="dxa"/>
              <w:left w:w="20" w:type="dxa"/>
              <w:bottom w:w="10" w:type="dxa"/>
              <w:right w:w="20" w:type="dxa"/>
            </w:tcMar>
            <w:vAlign w:val="center"/>
          </w:tcPr>
          <w:p>
            <w:r>
              <w:rPr>
                <w:color w:val="auto"/>
              </w:rPr>
              <w:t xml:space="preserve">0.1746</w:t>
            </w:r>
          </w:p>
        </w:tc>
        <w:tc>
          <w:tcPr>
            <w:tcW w:w="1433" w:type="dxa"/>
            <w:tcMar>
              <w:top w:w="10" w:type="dxa"/>
              <w:left w:w="20" w:type="dxa"/>
              <w:bottom w:w="10" w:type="dxa"/>
              <w:right w:w="20" w:type="dxa"/>
            </w:tcMar>
            <w:vAlign w:val="center"/>
          </w:tcPr>
          <w:p>
            <w:r>
              <w:rPr>
                <w:color w:val="auto"/>
              </w:rPr>
              <w:t xml:space="preserve">0.1732</w:t>
            </w:r>
          </w:p>
        </w:tc>
        <w:tc>
          <w:tcPr>
            <w:tcW w:w="1433" w:type="dxa"/>
            <w:tcMar>
              <w:top w:w="10" w:type="dxa"/>
              <w:left w:w="20" w:type="dxa"/>
              <w:bottom w:w="10" w:type="dxa"/>
              <w:right w:w="20" w:type="dxa"/>
            </w:tcMar>
            <w:vAlign w:val="center"/>
          </w:tcPr>
          <w:p>
            <w:r>
              <w:rPr>
                <w:color w:val="auto"/>
              </w:rPr>
              <w:t xml:space="preserve">0.1017</w:t>
            </w:r>
          </w:p>
        </w:tc>
        <w:tc>
          <w:tcPr>
            <w:tcW w:w="1433" w:type="dxa"/>
            <w:tcMar>
              <w:top w:w="10" w:type="dxa"/>
              <w:left w:w="20" w:type="dxa"/>
              <w:bottom w:w="10" w:type="dxa"/>
              <w:right w:w="20" w:type="dxa"/>
            </w:tcMar>
            <w:vAlign w:val="center"/>
          </w:tcPr>
          <w:p>
            <w:r>
              <w:rPr>
                <w:color w:val="auto"/>
              </w:rPr>
              <w:t xml:space="preserve">0.1016</w:t>
            </w:r>
          </w:p>
        </w:tc>
        <w:tc>
          <w:tcPr>
            <w:tcW w:w="1433" w:type="dxa"/>
            <w:tcMar>
              <w:top w:w="10" w:type="dxa"/>
              <w:left w:w="20" w:type="dxa"/>
              <w:bottom w:w="10" w:type="dxa"/>
              <w:right w:w="20" w:type="dxa"/>
            </w:tcMar>
            <w:vAlign w:val="center"/>
          </w:tcPr>
          <w:p>
            <w:r>
              <w:rPr>
                <w:color w:val="auto"/>
              </w:rPr>
              <w:t xml:space="preserve">0.0074</w:t>
            </w:r>
          </w:p>
        </w:tc>
        <w:tc>
          <w:tcPr>
            <w:tcW w:w="1433" w:type="dxa"/>
            <w:tcMar>
              <w:top w:w="10" w:type="dxa"/>
              <w:left w:w="20" w:type="dxa"/>
              <w:bottom w:w="10" w:type="dxa"/>
              <w:right w:w="20" w:type="dxa"/>
            </w:tcMar>
            <w:vAlign w:val="center"/>
          </w:tcPr>
          <w:p>
            <w:r>
              <w:rPr>
                <w:color w:val="auto"/>
              </w:rPr>
              <w:t xml:space="preserve">423</w:t>
            </w:r>
          </w:p>
        </w:tc>
      </w:tr>
      <w:tr w:rsidR="003E6F92">
        <w:trPr>
          <w:cantSplit/>
          <w:jc w:val="center"/>
        </w:trPr>
        <w:tc>
          <w:tcPr>
            <w:tcW w:w="1433" w:type="dxa"/>
            <w:tcMar>
              <w:top w:w="10" w:type="dxa"/>
              <w:left w:w="20" w:type="dxa"/>
              <w:bottom w:w="10" w:type="dxa"/>
              <w:right w:w="20" w:type="dxa"/>
            </w:tcMar>
            <w:vAlign w:val="center"/>
          </w:tcPr>
          <w:p>
            <w:r>
              <w:rPr>
                <w:color w:val="auto"/>
              </w:rPr>
              <w:t xml:space="preserve">fold 2</w:t>
            </w:r>
            <w:r>
              <w:t xml:space="preserve"/>
            </w:r>
            <w:r>
              <w:rPr>
                <w:color w:val="auto"/>
              </w:rPr>
              <w:t/>
            </w:r>
          </w:p>
        </w:tc>
        <w:tc>
          <w:tcPr>
            <w:tcW w:w="1433" w:type="dxa"/>
            <w:tcMar>
              <w:top w:w="10" w:type="dxa"/>
              <w:left w:w="20" w:type="dxa"/>
              <w:bottom w:w="10" w:type="dxa"/>
              <w:right w:w="20" w:type="dxa"/>
            </w:tcMar>
            <w:vAlign w:val="center"/>
          </w:tcPr>
          <w:p>
            <w:r>
              <w:rPr>
                <w:color w:val="auto"/>
              </w:rPr>
              <w:t xml:space="preserve">0.1086</w:t>
            </w:r>
          </w:p>
        </w:tc>
        <w:tc>
          <w:tcPr>
            <w:tcW w:w="1433" w:type="dxa"/>
            <w:tcMar>
              <w:top w:w="10" w:type="dxa"/>
              <w:left w:w="20" w:type="dxa"/>
              <w:bottom w:w="10" w:type="dxa"/>
              <w:right w:w="20" w:type="dxa"/>
            </w:tcMar>
            <w:vAlign w:val="center"/>
          </w:tcPr>
          <w:p>
            <w:r>
              <w:rPr>
                <w:color w:val="auto"/>
              </w:rPr>
              <w:t xml:space="preserve">0.1084</w:t>
            </w:r>
          </w:p>
        </w:tc>
        <w:tc>
          <w:tcPr>
            <w:tcW w:w="1433" w:type="dxa"/>
            <w:tcMar>
              <w:top w:w="10" w:type="dxa"/>
              <w:left w:w="20" w:type="dxa"/>
              <w:bottom w:w="10" w:type="dxa"/>
              <w:right w:w="20" w:type="dxa"/>
            </w:tcMar>
            <w:vAlign w:val="center"/>
          </w:tcPr>
          <w:p>
            <w:r>
              <w:rPr>
                <w:color w:val="auto"/>
              </w:rPr>
              <w:t xml:space="preserve">0.0905</w:t>
            </w:r>
          </w:p>
        </w:tc>
        <w:tc>
          <w:tcPr>
            <w:tcW w:w="1433" w:type="dxa"/>
            <w:tcMar>
              <w:top w:w="10" w:type="dxa"/>
              <w:left w:w="20" w:type="dxa"/>
              <w:bottom w:w="10" w:type="dxa"/>
              <w:right w:w="20" w:type="dxa"/>
            </w:tcMar>
            <w:vAlign w:val="center"/>
          </w:tcPr>
          <w:p>
            <w:r>
              <w:rPr>
                <w:color w:val="auto"/>
              </w:rPr>
              <w:t xml:space="preserve">0.0867</w:t>
            </w:r>
          </w:p>
        </w:tc>
        <w:tc>
          <w:tcPr>
            <w:tcW w:w="1433" w:type="dxa"/>
            <w:tcMar>
              <w:top w:w="10" w:type="dxa"/>
              <w:left w:w="20" w:type="dxa"/>
              <w:bottom w:w="10" w:type="dxa"/>
              <w:right w:w="20" w:type="dxa"/>
            </w:tcMar>
            <w:vAlign w:val="center"/>
          </w:tcPr>
          <w:p>
            <w:r>
              <w:rPr>
                <w:color w:val="auto"/>
              </w:rPr>
              <w:t xml:space="preserve">-0.0118</w:t>
            </w:r>
          </w:p>
        </w:tc>
        <w:tc>
          <w:tcPr>
            <w:tcW w:w="1433" w:type="dxa"/>
            <w:tcMar>
              <w:top w:w="10" w:type="dxa"/>
              <w:left w:w="20" w:type="dxa"/>
              <w:bottom w:w="10" w:type="dxa"/>
              <w:right w:w="20" w:type="dxa"/>
            </w:tcMar>
            <w:vAlign w:val="center"/>
          </w:tcPr>
          <w:p>
            <w:r>
              <w:rPr>
                <w:color w:val="auto"/>
              </w:rPr>
              <w:t xml:space="preserve">386</w:t>
            </w:r>
          </w:p>
        </w:tc>
      </w:tr>
      <w:tr w:rsidR="003E6F92">
        <w:trPr>
          <w:cantSplit/>
          <w:jc w:val="center"/>
        </w:trPr>
        <w:tc>
          <w:tcPr>
            <w:tcW w:w="1433" w:type="dxa"/>
            <w:tcMar>
              <w:top w:w="10" w:type="dxa"/>
              <w:left w:w="20" w:type="dxa"/>
              <w:bottom w:w="10" w:type="dxa"/>
              <w:right w:w="20" w:type="dxa"/>
            </w:tcMar>
            <w:vAlign w:val="center"/>
          </w:tcPr>
          <w:p>
            <w:r>
              <w:rPr>
                <w:color w:val="auto"/>
              </w:rPr>
              <w:t xml:space="preserve">fold 3</w:t>
            </w:r>
            <w:r>
              <w:t xml:space="preserve"/>
            </w:r>
            <w:r>
              <w:rPr>
                <w:color w:val="auto"/>
              </w:rPr>
              <w:t/>
            </w:r>
          </w:p>
        </w:tc>
        <w:tc>
          <w:tcPr>
            <w:tcW w:w="1433" w:type="dxa"/>
            <w:tcMar>
              <w:top w:w="10" w:type="dxa"/>
              <w:left w:w="20" w:type="dxa"/>
              <w:bottom w:w="10" w:type="dxa"/>
              <w:right w:w="20" w:type="dxa"/>
            </w:tcMar>
            <w:vAlign w:val="center"/>
          </w:tcPr>
          <w:p>
            <w:r>
              <w:rPr>
                <w:color w:val="auto"/>
              </w:rPr>
              <w:t xml:space="preserve">0.1354</w:t>
            </w:r>
          </w:p>
        </w:tc>
        <w:tc>
          <w:tcPr>
            <w:tcW w:w="1433" w:type="dxa"/>
            <w:tcMar>
              <w:top w:w="10" w:type="dxa"/>
              <w:left w:w="20" w:type="dxa"/>
              <w:bottom w:w="10" w:type="dxa"/>
              <w:right w:w="20" w:type="dxa"/>
            </w:tcMar>
            <w:vAlign w:val="center"/>
          </w:tcPr>
          <w:p>
            <w:r>
              <w:rPr>
                <w:color w:val="auto"/>
              </w:rPr>
              <w:t xml:space="preserve">0.1316</w:t>
            </w:r>
          </w:p>
        </w:tc>
        <w:tc>
          <w:tcPr>
            <w:tcW w:w="1433" w:type="dxa"/>
            <w:tcMar>
              <w:top w:w="10" w:type="dxa"/>
              <w:left w:w="20" w:type="dxa"/>
              <w:bottom w:w="10" w:type="dxa"/>
              <w:right w:w="20" w:type="dxa"/>
            </w:tcMar>
            <w:vAlign w:val="center"/>
          </w:tcPr>
          <w:p>
            <w:r>
              <w:rPr>
                <w:color w:val="auto"/>
              </w:rPr>
              <w:t xml:space="preserve">0.0867</w:t>
            </w:r>
          </w:p>
        </w:tc>
        <w:tc>
          <w:tcPr>
            <w:tcW w:w="1433" w:type="dxa"/>
            <w:tcMar>
              <w:top w:w="10" w:type="dxa"/>
              <w:left w:w="20" w:type="dxa"/>
              <w:bottom w:w="10" w:type="dxa"/>
              <w:right w:w="20" w:type="dxa"/>
            </w:tcMar>
            <w:vAlign w:val="center"/>
          </w:tcPr>
          <w:p>
            <w:r>
              <w:rPr>
                <w:color w:val="auto"/>
              </w:rPr>
              <w:t xml:space="preserve">0.0935</w:t>
            </w:r>
          </w:p>
        </w:tc>
        <w:tc>
          <w:tcPr>
            <w:tcW w:w="1433" w:type="dxa"/>
            <w:tcMar>
              <w:top w:w="10" w:type="dxa"/>
              <w:left w:w="20" w:type="dxa"/>
              <w:bottom w:w="10" w:type="dxa"/>
              <w:right w:w="20" w:type="dxa"/>
            </w:tcMar>
            <w:vAlign w:val="center"/>
          </w:tcPr>
          <w:p>
            <w:r>
              <w:rPr>
                <w:color w:val="auto"/>
              </w:rPr>
              <w:t xml:space="preserve">-0.0050</w:t>
            </w:r>
          </w:p>
        </w:tc>
        <w:tc>
          <w:tcPr>
            <w:tcW w:w="1433" w:type="dxa"/>
            <w:tcMar>
              <w:top w:w="10" w:type="dxa"/>
              <w:left w:w="20" w:type="dxa"/>
              <w:bottom w:w="10" w:type="dxa"/>
              <w:right w:w="20" w:type="dxa"/>
            </w:tcMar>
            <w:vAlign w:val="center"/>
          </w:tcPr>
          <w:p>
            <w:r>
              <w:rPr>
                <w:color w:val="auto"/>
              </w:rPr>
              <w:t xml:space="preserve">386</w:t>
            </w:r>
          </w:p>
        </w:tc>
      </w:tr>
      <w:tr w:rsidR="003E6F92">
        <w:trPr>
          <w:cantSplit/>
          <w:jc w:val="center"/>
        </w:trPr>
        <w:tc>
          <w:tcPr>
            <w:tcW w:w="1433" w:type="dxa"/>
            <w:tcMar>
              <w:top w:w="10" w:type="dxa"/>
              <w:left w:w="20" w:type="dxa"/>
              <w:bottom w:w="10" w:type="dxa"/>
              <w:right w:w="20" w:type="dxa"/>
            </w:tcMar>
            <w:vAlign w:val="center"/>
          </w:tcPr>
          <w:p>
            <w:r>
              <w:rPr>
                <w:color w:val="auto"/>
              </w:rPr>
              <w:t xml:space="preserve">fold 4</w:t>
            </w:r>
            <w:r>
              <w:t xml:space="preserve"/>
            </w:r>
            <w:r>
              <w:rPr>
                <w:color w:val="auto"/>
              </w:rPr>
              <w:t/>
            </w:r>
          </w:p>
        </w:tc>
        <w:tc>
          <w:tcPr>
            <w:tcW w:w="1433" w:type="dxa"/>
            <w:tcMar>
              <w:top w:w="10" w:type="dxa"/>
              <w:left w:w="20" w:type="dxa"/>
              <w:bottom w:w="10" w:type="dxa"/>
              <w:right w:w="20" w:type="dxa"/>
            </w:tcMar>
            <w:vAlign w:val="center"/>
          </w:tcPr>
          <w:p>
            <w:r>
              <w:rPr>
                <w:color w:val="auto"/>
              </w:rPr>
              <w:t xml:space="preserve">0.1319</w:t>
            </w:r>
          </w:p>
        </w:tc>
        <w:tc>
          <w:tcPr>
            <w:tcW w:w="1433" w:type="dxa"/>
            <w:tcMar>
              <w:top w:w="10" w:type="dxa"/>
              <w:left w:w="20" w:type="dxa"/>
              <w:bottom w:w="10" w:type="dxa"/>
              <w:right w:w="20" w:type="dxa"/>
            </w:tcMar>
            <w:vAlign w:val="center"/>
          </w:tcPr>
          <w:p>
            <w:r>
              <w:rPr>
                <w:color w:val="auto"/>
              </w:rPr>
              <w:t xml:space="preserve">0.1335</w:t>
            </w:r>
          </w:p>
        </w:tc>
        <w:tc>
          <w:tcPr>
            <w:tcW w:w="1433" w:type="dxa"/>
            <w:tcMar>
              <w:top w:w="10" w:type="dxa"/>
              <w:left w:w="20" w:type="dxa"/>
              <w:bottom w:w="10" w:type="dxa"/>
              <w:right w:w="20" w:type="dxa"/>
            </w:tcMar>
            <w:vAlign w:val="center"/>
          </w:tcPr>
          <w:p>
            <w:r>
              <w:rPr>
                <w:color w:val="auto"/>
              </w:rPr>
              <w:t xml:space="preserve">0.0822</w:t>
            </w:r>
          </w:p>
        </w:tc>
        <w:tc>
          <w:tcPr>
            <w:tcW w:w="1433" w:type="dxa"/>
            <w:tcMar>
              <w:top w:w="10" w:type="dxa"/>
              <w:left w:w="20" w:type="dxa"/>
              <w:bottom w:w="10" w:type="dxa"/>
              <w:right w:w="20" w:type="dxa"/>
            </w:tcMar>
            <w:vAlign w:val="center"/>
          </w:tcPr>
          <w:p>
            <w:r>
              <w:rPr>
                <w:color w:val="auto"/>
              </w:rPr>
              <w:t xml:space="preserve">0.0808</w:t>
            </w:r>
          </w:p>
        </w:tc>
        <w:tc>
          <w:tcPr>
            <w:tcW w:w="1433" w:type="dxa"/>
            <w:tcMar>
              <w:top w:w="10" w:type="dxa"/>
              <w:left w:w="20" w:type="dxa"/>
              <w:bottom w:w="10" w:type="dxa"/>
              <w:right w:w="20" w:type="dxa"/>
            </w:tcMar>
            <w:vAlign w:val="center"/>
          </w:tcPr>
          <w:p>
            <w:r>
              <w:rPr>
                <w:color w:val="auto"/>
              </w:rPr>
              <w:t xml:space="preserve">-0.0224</w:t>
            </w:r>
          </w:p>
        </w:tc>
        <w:tc>
          <w:tcPr>
            <w:tcW w:w="1433" w:type="dxa"/>
            <w:tcMar>
              <w:top w:w="10" w:type="dxa"/>
              <w:left w:w="20" w:type="dxa"/>
              <w:bottom w:w="10" w:type="dxa"/>
              <w:right w:w="20" w:type="dxa"/>
            </w:tcMar>
            <w:vAlign w:val="center"/>
          </w:tcPr>
          <w:p>
            <w:r>
              <w:rPr>
                <w:color w:val="auto"/>
              </w:rPr>
              <w:t xml:space="preserve">352</w:t>
            </w:r>
          </w:p>
        </w:tc>
      </w:tr>
    </w:tbl>
    <w:p w:rsidR="00332BC5" w:rsidRPr="00E61DEF" w:rsidRDefault="00EF6C3D" w:rsidP="00F076D7">
      <w:pPr>
        <w:pStyle w:val="figurecaption0"/>
        <w:keepNext/>
        <w:spacing w:before="80" w:after="40"/>
      </w:pPr>
      <w:r>
        <w:rPr>
          <w:color w:val="auto"/>
        </w:rPr>
        <w:t xml:space="preserve">Table A3. Threshold analysis at τ = 0.7 under the primary protocol (ASSISTments 2012, fold 0, nonempty windows). FAR intervals are KC-clustered percentile bootstrap intervals (B = 2,000; seed 20261021). ΔFAR is 0.036 [−0.041, 0.125] for DKT and 0.051 [−0.019, 0.141] for T-KT masked. Excess is FAR minus E[FAR].</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81"/>
        <w:gridCol w:w="1008"/>
        <w:gridCol w:w="967"/>
        <w:gridCol w:w="967"/>
        <w:gridCol w:w="967"/>
        <w:gridCol w:w="2583"/>
        <w:gridCol w:w="1028"/>
        <w:gridCol w:w="901"/>
        <w:gridCol w:w="733"/>
      </w:tblGrid>
      <w:tr w:rsidR="003E6F92">
        <w:trPr>
          <w:cantSplit/>
          <w:tblHeader/>
          <w:jc w:val="center"/>
        </w:trPr>
        <w:tc>
          <w:tcPr>
            <w:tcW w:w="439" w:type="pct"/>
            <w:tcMar>
              <w:top w:w="10" w:type="dxa"/>
              <w:left w:w="20" w:type="dxa"/>
              <w:bottom w:w="10" w:type="dxa"/>
              <w:right w:w="20" w:type="dxa"/>
            </w:tcMar>
            <w:vAlign w:val="center"/>
          </w:tcPr>
          <w:p w:rsidR="003E6F92" w:rsidRDefault="00B0150D">
            <w:pPr>
              <w:keepNext/>
              <w:jc w:val="center"/>
              <w:rPr>
                <w:b/>
                <w:sz w:val="16"/>
              </w:rPr>
            </w:pPr>
            <w:r>
              <w:rPr>
                <w:b/>
                <w:sz w:val="16"/>
              </w:rPr>
              <w:t>Model</w:t>
            </w:r>
          </w:p>
        </w:tc>
        <w:tc>
          <w:tcPr>
            <w:tcW w:w="502" w:type="pct"/>
            <w:tcMar>
              <w:top w:w="10" w:type="dxa"/>
              <w:left w:w="20" w:type="dxa"/>
              <w:bottom w:w="10" w:type="dxa"/>
              <w:right w:w="20" w:type="dxa"/>
            </w:tcMar>
            <w:vAlign w:val="center"/>
          </w:tcPr>
          <w:p w:rsidR="003E6F92" w:rsidRDefault="00B0150D">
            <w:pPr>
              <w:keepNext/>
              <w:jc w:val="center"/>
              <w:rPr>
                <w:b/>
                <w:sz w:val="16"/>
              </w:rPr>
            </w:pPr>
            <w:r>
              <w:rPr>
                <w:b/>
                <w:sz w:val="16"/>
              </w:rPr>
              <w:t>Group</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r>
              <w:rPr>
                <w:b/>
                <w:sz w:val="16"/>
                <w:vertAlign w:val="subscript"/>
              </w:rPr>
              <w:t>adv</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r>
              <w:rPr>
                <w:b/>
                <w:sz w:val="16"/>
                <w:vertAlign w:val="subscript"/>
              </w:rPr>
              <w:t>inc</w:t>
            </w:r>
          </w:p>
        </w:tc>
        <w:tc>
          <w:tcPr>
            <w:tcW w:w="1287" w:type="pct"/>
            <w:tcMar>
              <w:top w:w="10" w:type="dxa"/>
              <w:left w:w="20" w:type="dxa"/>
              <w:bottom w:w="10" w:type="dxa"/>
              <w:right w:w="20" w:type="dxa"/>
            </w:tcMar>
            <w:vAlign w:val="center"/>
          </w:tcPr>
          <w:p w:rsidR="003E6F92" w:rsidRDefault="00B0150D">
            <w:pPr>
              <w:keepNext/>
              <w:jc w:val="center"/>
              <w:rPr>
                <w:b/>
                <w:sz w:val="16"/>
              </w:rPr>
            </w:pPr>
            <w:r>
              <w:rPr>
                <w:b/>
                <w:sz w:val="16"/>
              </w:rPr>
              <w:t>FAR [95% CI]</w:t>
            </w:r>
          </w:p>
        </w:tc>
        <w:tc>
          <w:tcPr>
            <w:tcW w:w="512" w:type="pct"/>
            <w:tcMar>
              <w:top w:w="10" w:type="dxa"/>
              <w:left w:w="20" w:type="dxa"/>
              <w:bottom w:w="10" w:type="dxa"/>
              <w:right w:w="20" w:type="dxa"/>
            </w:tcMar>
            <w:vAlign w:val="center"/>
          </w:tcPr>
          <w:p w:rsidR="003E6F92" w:rsidRDefault="00B0150D">
            <w:pPr>
              <w:keepNext/>
              <w:jc w:val="center"/>
              <w:rPr>
                <w:b/>
                <w:sz w:val="16"/>
              </w:rPr>
            </w:pPr>
            <w:r>
              <w:rPr>
                <w:b/>
                <w:sz w:val="16"/>
              </w:rPr>
              <w:t>E[FAR]</w:t>
            </w:r>
          </w:p>
        </w:tc>
        <w:tc>
          <w:tcPr>
            <w:tcW w:w="449" w:type="pct"/>
            <w:tcMar>
              <w:top w:w="10" w:type="dxa"/>
              <w:left w:w="20" w:type="dxa"/>
              <w:bottom w:w="10" w:type="dxa"/>
              <w:right w:w="20" w:type="dxa"/>
            </w:tcMar>
            <w:vAlign w:val="center"/>
          </w:tcPr>
          <w:p w:rsidR="003E6F92" w:rsidRDefault="00B0150D">
            <w:pPr>
              <w:keepNext/>
              <w:jc w:val="center"/>
              <w:rPr>
                <w:b/>
                <w:sz w:val="16"/>
              </w:rPr>
            </w:pPr>
            <w:r>
              <w:rPr>
                <w:b/>
                <w:sz w:val="16"/>
              </w:rPr>
              <w:t>Excess</w:t>
            </w:r>
          </w:p>
        </w:tc>
        <w:tc>
          <w:tcPr>
            <w:tcW w:w="365" w:type="pct"/>
            <w:tcMar>
              <w:top w:w="10" w:type="dxa"/>
              <w:left w:w="20" w:type="dxa"/>
              <w:bottom w:w="10" w:type="dxa"/>
              <w:right w:w="20" w:type="dxa"/>
            </w:tcMar>
            <w:vAlign w:val="center"/>
          </w:tcPr>
          <w:p w:rsidR="003E6F92" w:rsidRDefault="00B0150D">
            <w:pPr>
              <w:keepNext/>
              <w:jc w:val="center"/>
              <w:rPr>
                <w:b/>
                <w:sz w:val="16"/>
              </w:rPr>
            </w:pPr>
            <w:r>
              <w:rPr>
                <w:b/>
                <w:sz w:val="16"/>
              </w:rPr>
              <w:t>FPR</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DKT</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sparse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430</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200</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195</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0.215 [0.138–0.304]</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0.142</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0.073</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0.221</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DKT</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dense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521,348</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300,610</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156,258</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0.179 [0.170–0.187]</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0.178</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0.001</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0.344</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T-KT masked</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sparse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430</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198</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195</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0.232 [0.163–0.320]</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0.119</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0.113</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0.236</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T-KT masked</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dense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521,348</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298,201</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156,258</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0.182 [0.173–0.191]</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0.176</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0.006</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0.347</w:t>
            </w:r>
          </w:p>
        </w:tc>
      </w:tr>
    </w:tbl>
    <w:p w:rsidR="00332BC5" w:rsidRPr="00E61DEF" w:rsidRDefault="00EF6C3D" w:rsidP="00F076D7">
      <w:pPr>
        <w:pStyle w:val="figurecaption0"/>
        <w:keepNext/>
        <w:spacing w:before="80" w:after="40"/>
      </w:pPr>
      <w:r>
        <w:rPr>
          <w:color w:val="auto"/>
        </w:rPr>
        <w:t xml:space="preserve">Table A4. ΔFAR at τ = 0.7 across four unique partitions under the primary protocol (ASSISTments 2012; fold 2 and fold 3 averaged first; the SD is descriptive). N, Nadv, and Ninc are sparse-group mean counts, rounded.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98"/>
        <w:gridCol w:w="1150"/>
        <w:gridCol w:w="801"/>
        <w:gridCol w:w="1499"/>
        <w:gridCol w:w="1901"/>
        <w:gridCol w:w="1100"/>
        <w:gridCol w:w="1351"/>
        <w:gridCol w:w="1335"/>
      </w:tblGrid>
      <w:tr w:rsidR="003E6F92">
        <w:trPr>
          <w:cantSplit/>
          <w:tblHeader/>
          <w:jc w:val="center"/>
        </w:trPr>
        <w:tc>
          <w:tcPr>
            <w:tcW w:w="448" w:type="pct"/>
            <w:tcMar>
              <w:top w:w="10" w:type="dxa"/>
              <w:left w:w="20" w:type="dxa"/>
              <w:bottom w:w="10" w:type="dxa"/>
              <w:right w:w="20" w:type="dxa"/>
            </w:tcMar>
            <w:vAlign w:val="center"/>
          </w:tcPr>
          <w:p w:rsidR="003E6F92" w:rsidRDefault="00B0150D">
            <w:pPr>
              <w:keepNext/>
              <w:jc w:val="center"/>
              <w:rPr>
                <w:b/>
                <w:sz w:val="16"/>
              </w:rPr>
            </w:pPr>
            <w:r>
              <w:rPr>
                <w:b/>
                <w:sz w:val="16"/>
              </w:rPr>
              <w:t>Model</w:t>
            </w:r>
          </w:p>
        </w:tc>
        <w:tc>
          <w:tcPr>
            <w:tcW w:w="573" w:type="pct"/>
            <w:tcMar>
              <w:top w:w="10" w:type="dxa"/>
              <w:left w:w="20" w:type="dxa"/>
              <w:bottom w:w="10" w:type="dxa"/>
              <w:right w:w="20" w:type="dxa"/>
            </w:tcMar>
            <w:vAlign w:val="center"/>
          </w:tcPr>
          <w:p w:rsidR="003E6F92" w:rsidRDefault="00B0150D">
            <w:pPr>
              <w:keepNext/>
              <w:jc w:val="center"/>
              <w:rPr>
                <w:b/>
                <w:sz w:val="16"/>
              </w:rPr>
            </w:pPr>
            <w:r>
              <w:rPr>
                <w:b/>
                <w:sz w:val="16"/>
              </w:rPr>
              <w:t>Mean ΔFAR</w:t>
            </w:r>
          </w:p>
        </w:tc>
        <w:tc>
          <w:tcPr>
            <w:tcW w:w="399" w:type="pct"/>
            <w:tcMar>
              <w:top w:w="10" w:type="dxa"/>
              <w:left w:w="20" w:type="dxa"/>
              <w:bottom w:w="10" w:type="dxa"/>
              <w:right w:w="20" w:type="dxa"/>
            </w:tcMar>
            <w:vAlign w:val="center"/>
          </w:tcPr>
          <w:p w:rsidR="003E6F92" w:rsidRDefault="00B0150D">
            <w:pPr>
              <w:keepNext/>
              <w:jc w:val="center"/>
              <w:rPr>
                <w:b/>
                <w:sz w:val="16"/>
              </w:rPr>
            </w:pPr>
            <w:r>
              <w:rPr>
                <w:b/>
                <w:sz w:val="16"/>
              </w:rPr>
              <w:t>SD</w:t>
            </w:r>
          </w:p>
        </w:tc>
        <w:tc>
          <w:tcPr>
            <w:tcW w:w="747" w:type="pct"/>
            <w:tcMar>
              <w:top w:w="10" w:type="dxa"/>
              <w:left w:w="20" w:type="dxa"/>
              <w:bottom w:w="10" w:type="dxa"/>
              <w:right w:w="20" w:type="dxa"/>
            </w:tcMar>
            <w:vAlign w:val="center"/>
          </w:tcPr>
          <w:p w:rsidR="003E6F92" w:rsidRDefault="00B0150D">
            <w:pPr>
              <w:keepNext/>
              <w:jc w:val="center"/>
              <w:rPr>
                <w:b/>
                <w:sz w:val="16"/>
              </w:rPr>
            </w:pPr>
            <w:r>
              <w:rPr>
                <w:b/>
                <w:sz w:val="16"/>
              </w:rPr>
              <w:t>Range</w:t>
            </w:r>
          </w:p>
        </w:tc>
        <w:tc>
          <w:tcPr>
            <w:tcW w:w="947" w:type="pct"/>
            <w:tcMar>
              <w:top w:w="10" w:type="dxa"/>
              <w:left w:w="20" w:type="dxa"/>
              <w:bottom w:w="10" w:type="dxa"/>
              <w:right w:w="20" w:type="dxa"/>
            </w:tcMar>
            <w:vAlign w:val="center"/>
          </w:tcPr>
          <w:p w:rsidR="003E6F92" w:rsidRDefault="00B0150D">
            <w:pPr>
              <w:keepNext/>
              <w:jc w:val="center"/>
              <w:rPr>
                <w:b/>
                <w:sz w:val="16"/>
              </w:rPr>
            </w:pPr>
            <w:r>
              <w:rPr>
                <w:b/>
                <w:sz w:val="16"/>
              </w:rPr>
              <w:t>Partitions with ΔFAR &gt; 0</w:t>
            </w:r>
          </w:p>
        </w:tc>
        <w:tc>
          <w:tcPr>
            <w:tcW w:w="548" w:type="pct"/>
            <w:tcMar>
              <w:top w:w="10" w:type="dxa"/>
              <w:left w:w="20" w:type="dxa"/>
              <w:bottom w:w="10" w:type="dxa"/>
              <w:right w:w="20" w:type="dxa"/>
            </w:tcMar>
            <w:vAlign w:val="center"/>
          </w:tcPr>
          <w:p w:rsidR="003E6F92" w:rsidRDefault="00B0150D">
            <w:pPr>
              <w:keepNext/>
              <w:jc w:val="center"/>
              <w:rPr>
                <w:b/>
                <w:sz w:val="16"/>
              </w:rPr>
            </w:pPr>
            <w:r>
              <w:rPr>
                <w:b/>
                <w:sz w:val="16"/>
              </w:rPr>
              <w:t>Mean N</w:t>
            </w:r>
          </w:p>
        </w:tc>
        <w:tc>
          <w:tcPr>
            <w:tcW w:w="673" w:type="pct"/>
            <w:tcMar>
              <w:top w:w="10" w:type="dxa"/>
              <w:left w:w="20" w:type="dxa"/>
              <w:bottom w:w="10" w:type="dxa"/>
              <w:right w:w="20" w:type="dxa"/>
            </w:tcMar>
            <w:vAlign w:val="center"/>
          </w:tcPr>
          <w:p w:rsidR="003E6F92" w:rsidRDefault="00B0150D">
            <w:pPr>
              <w:keepNext/>
              <w:jc w:val="center"/>
              <w:rPr>
                <w:b/>
                <w:sz w:val="16"/>
              </w:rPr>
            </w:pPr>
            <w:r>
              <w:rPr>
                <w:b/>
                <w:sz w:val="16"/>
              </w:rPr>
              <w:t>Mean N</w:t>
            </w:r>
            <w:r>
              <w:rPr>
                <w:b/>
                <w:sz w:val="16"/>
                <w:vertAlign w:val="subscript"/>
              </w:rPr>
              <w:t>adv</w:t>
            </w:r>
          </w:p>
        </w:tc>
        <w:tc>
          <w:tcPr>
            <w:tcW w:w="665" w:type="pct"/>
            <w:tcMar>
              <w:top w:w="10" w:type="dxa"/>
              <w:left w:w="20" w:type="dxa"/>
              <w:bottom w:w="10" w:type="dxa"/>
              <w:right w:w="20" w:type="dxa"/>
            </w:tcMar>
            <w:vAlign w:val="center"/>
          </w:tcPr>
          <w:p w:rsidR="003E6F92" w:rsidRDefault="00B0150D">
            <w:pPr>
              <w:keepNext/>
              <w:jc w:val="center"/>
              <w:rPr>
                <w:b/>
                <w:sz w:val="16"/>
              </w:rPr>
            </w:pPr>
            <w:r>
              <w:rPr>
                <w:b/>
                <w:sz w:val="16"/>
              </w:rPr>
              <w:t>Mean N</w:t>
            </w:r>
            <w:r>
              <w:rPr>
                <w:b/>
                <w:sz w:val="16"/>
                <w:vertAlign w:val="subscript"/>
              </w:rPr>
              <w:t>inc</w:t>
            </w:r>
          </w:p>
        </w:tc>
      </w:tr>
      <w:tr w:rsidR="003E6F92">
        <w:trPr>
          <w:cantSplit/>
          <w:jc w:val="center"/>
        </w:trPr>
        <w:tc>
          <w:tcPr>
            <w:tcW w:w="448" w:type="pct"/>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573" w:type="pct"/>
            <w:tcMar>
              <w:top w:w="10" w:type="dxa"/>
              <w:left w:w="20" w:type="dxa"/>
              <w:bottom w:w="10" w:type="dxa"/>
              <w:right w:w="20" w:type="dxa"/>
            </w:tcMar>
            <w:vAlign w:val="center"/>
          </w:tcPr>
          <w:p w:rsidR="003E6F92" w:rsidRDefault="00B0150D">
            <w:pPr>
              <w:keepNext/>
              <w:jc w:val="center"/>
              <w:rPr>
                <w:sz w:val="16"/>
              </w:rPr>
            </w:pPr>
            <w:r>
              <w:rPr>
                <w:sz w:val="16"/>
              </w:rPr>
              <w:t xml:space="preserve">0.021</w:t>
            </w:r>
          </w:p>
        </w:tc>
        <w:tc>
          <w:tcPr>
            <w:tcW w:w="399" w:type="pct"/>
            <w:tcMar>
              <w:top w:w="10" w:type="dxa"/>
              <w:left w:w="20" w:type="dxa"/>
              <w:bottom w:w="10" w:type="dxa"/>
              <w:right w:w="20" w:type="dxa"/>
            </w:tcMar>
            <w:vAlign w:val="center"/>
          </w:tcPr>
          <w:p w:rsidR="003E6F92" w:rsidRDefault="00B0150D">
            <w:pPr>
              <w:keepNext/>
              <w:jc w:val="center"/>
              <w:rPr>
                <w:sz w:val="16"/>
              </w:rPr>
            </w:pPr>
            <w:r>
              <w:rPr>
                <w:sz w:val="16"/>
              </w:rPr>
              <w:t xml:space="preserve">0.019</w:t>
            </w:r>
          </w:p>
        </w:tc>
        <w:tc>
          <w:tcPr>
            <w:tcW w:w="747" w:type="pct"/>
            <w:tcMar>
              <w:top w:w="10" w:type="dxa"/>
              <w:left w:w="20" w:type="dxa"/>
              <w:bottom w:w="10" w:type="dxa"/>
              <w:right w:w="20" w:type="dxa"/>
            </w:tcMar>
            <w:vAlign w:val="center"/>
          </w:tcPr>
          <w:p w:rsidR="003E6F92" w:rsidRDefault="00B0150D">
            <w:pPr>
              <w:keepNext/>
              <w:jc w:val="center"/>
              <w:rPr>
                <w:sz w:val="16"/>
              </w:rPr>
            </w:pPr>
            <w:r>
              <w:rPr>
                <w:sz w:val="16"/>
              </w:rPr>
              <w:t xml:space="preserve">−0.001 to 0.038</w:t>
            </w:r>
          </w:p>
        </w:tc>
        <w:tc>
          <w:tcPr>
            <w:tcW w:w="947" w:type="pct"/>
            <w:tcMar>
              <w:top w:w="10" w:type="dxa"/>
              <w:left w:w="20" w:type="dxa"/>
              <w:bottom w:w="10" w:type="dxa"/>
              <w:right w:w="20" w:type="dxa"/>
            </w:tcMar>
            <w:vAlign w:val="center"/>
          </w:tcPr>
          <w:p w:rsidR="003E6F92" w:rsidRDefault="00B0150D">
            <w:pPr>
              <w:keepNext/>
              <w:jc w:val="center"/>
              <w:rPr>
                <w:sz w:val="16"/>
              </w:rPr>
            </w:pPr>
            <w:r>
              <w:rPr>
                <w:sz w:val="16"/>
              </w:rPr>
              <w:t xml:space="preserve">3/4</w:t>
            </w:r>
          </w:p>
        </w:tc>
        <w:tc>
          <w:tcPr>
            <w:tcW w:w="548" w:type="pct"/>
            <w:tcMar>
              <w:top w:w="10" w:type="dxa"/>
              <w:left w:w="20" w:type="dxa"/>
              <w:bottom w:w="10" w:type="dxa"/>
              <w:right w:w="20" w:type="dxa"/>
            </w:tcMar>
            <w:vAlign w:val="center"/>
          </w:tcPr>
          <w:p w:rsidR="003E6F92" w:rsidRDefault="00B0150D">
            <w:pPr>
              <w:keepNext/>
              <w:jc w:val="center"/>
              <w:rPr>
                <w:sz w:val="16"/>
              </w:rPr>
            </w:pPr>
            <w:r>
              <w:rPr>
                <w:sz w:val="16"/>
              </w:rPr>
              <w:t xml:space="preserve">398</w:t>
            </w:r>
          </w:p>
        </w:tc>
        <w:tc>
          <w:tcPr>
            <w:tcW w:w="673" w:type="pct"/>
            <w:tcMar>
              <w:top w:w="10" w:type="dxa"/>
              <w:left w:w="20" w:type="dxa"/>
              <w:bottom w:w="10" w:type="dxa"/>
              <w:right w:w="20" w:type="dxa"/>
            </w:tcMar>
            <w:vAlign w:val="center"/>
          </w:tcPr>
          <w:p w:rsidR="003E6F92" w:rsidRDefault="00B0150D">
            <w:pPr>
              <w:keepNext/>
              <w:jc w:val="center"/>
              <w:rPr>
                <w:sz w:val="16"/>
              </w:rPr>
            </w:pPr>
            <w:r>
              <w:rPr>
                <w:sz w:val="16"/>
              </w:rPr>
              <w:t xml:space="preserve">191</w:t>
            </w:r>
          </w:p>
        </w:tc>
        <w:tc>
          <w:tcPr>
            <w:tcW w:w="665" w:type="pct"/>
            <w:tcMar>
              <w:top w:w="10" w:type="dxa"/>
              <w:left w:w="20" w:type="dxa"/>
              <w:bottom w:w="10" w:type="dxa"/>
              <w:right w:w="20" w:type="dxa"/>
            </w:tcMar>
            <w:vAlign w:val="center"/>
          </w:tcPr>
          <w:p w:rsidR="003E6F92" w:rsidRDefault="00B0150D">
            <w:pPr>
              <w:keepNext/>
              <w:jc w:val="center"/>
              <w:rPr>
                <w:sz w:val="16"/>
              </w:rPr>
            </w:pPr>
            <w:r>
              <w:rPr>
                <w:sz w:val="16"/>
              </w:rPr>
              <w:t xml:space="preserve">157</w:t>
            </w:r>
          </w:p>
        </w:tc>
      </w:tr>
      <w:tr w:rsidR="003E6F92">
        <w:trPr>
          <w:cantSplit/>
          <w:jc w:val="center"/>
        </w:trPr>
        <w:tc>
          <w:tcPr>
            <w:tcW w:w="448" w:type="pct"/>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573" w:type="pct"/>
            <w:tcMar>
              <w:top w:w="10" w:type="dxa"/>
              <w:left w:w="20" w:type="dxa"/>
              <w:bottom w:w="10" w:type="dxa"/>
              <w:right w:w="20" w:type="dxa"/>
            </w:tcMar>
            <w:vAlign w:val="center"/>
          </w:tcPr>
          <w:p w:rsidR="003E6F92" w:rsidRDefault="00B0150D">
            <w:pPr>
              <w:keepNext/>
              <w:jc w:val="center"/>
              <w:rPr>
                <w:sz w:val="16"/>
              </w:rPr>
            </w:pPr>
            <w:r>
              <w:rPr>
                <w:sz w:val="16"/>
              </w:rPr>
              <w:t xml:space="preserve">0.036</w:t>
            </w:r>
          </w:p>
        </w:tc>
        <w:tc>
          <w:tcPr>
            <w:tcW w:w="399" w:type="pct"/>
            <w:tcMar>
              <w:top w:w="10" w:type="dxa"/>
              <w:left w:w="20" w:type="dxa"/>
              <w:bottom w:w="10" w:type="dxa"/>
              <w:right w:w="20" w:type="dxa"/>
            </w:tcMar>
            <w:vAlign w:val="center"/>
          </w:tcPr>
          <w:p w:rsidR="003E6F92" w:rsidRDefault="00B0150D">
            <w:pPr>
              <w:keepNext/>
              <w:jc w:val="center"/>
              <w:rPr>
                <w:sz w:val="16"/>
              </w:rPr>
            </w:pPr>
            <w:r>
              <w:rPr>
                <w:sz w:val="16"/>
              </w:rPr>
              <w:t xml:space="preserve">0.038</w:t>
            </w:r>
          </w:p>
        </w:tc>
        <w:tc>
          <w:tcPr>
            <w:tcW w:w="747" w:type="pct"/>
            <w:tcMar>
              <w:top w:w="10" w:type="dxa"/>
              <w:left w:w="20" w:type="dxa"/>
              <w:bottom w:w="10" w:type="dxa"/>
              <w:right w:w="20" w:type="dxa"/>
            </w:tcMar>
            <w:vAlign w:val="center"/>
          </w:tcPr>
          <w:p w:rsidR="003E6F92" w:rsidRDefault="00B0150D">
            <w:pPr>
              <w:keepNext/>
              <w:jc w:val="center"/>
              <w:rPr>
                <w:sz w:val="16"/>
              </w:rPr>
            </w:pPr>
            <w:r>
              <w:rPr>
                <w:sz w:val="16"/>
              </w:rPr>
              <w:t xml:space="preserve">−0.007 to 0.081</w:t>
            </w:r>
          </w:p>
        </w:tc>
        <w:tc>
          <w:tcPr>
            <w:tcW w:w="947" w:type="pct"/>
            <w:tcMar>
              <w:top w:w="10" w:type="dxa"/>
              <w:left w:w="20" w:type="dxa"/>
              <w:bottom w:w="10" w:type="dxa"/>
              <w:right w:w="20" w:type="dxa"/>
            </w:tcMar>
            <w:vAlign w:val="center"/>
          </w:tcPr>
          <w:p w:rsidR="003E6F92" w:rsidRDefault="00B0150D">
            <w:pPr>
              <w:keepNext/>
              <w:jc w:val="center"/>
              <w:rPr>
                <w:sz w:val="16"/>
              </w:rPr>
            </w:pPr>
            <w:r>
              <w:rPr>
                <w:sz w:val="16"/>
              </w:rPr>
              <w:t xml:space="preserve">3/4</w:t>
            </w:r>
          </w:p>
        </w:tc>
        <w:tc>
          <w:tcPr>
            <w:tcW w:w="548" w:type="pct"/>
            <w:tcMar>
              <w:top w:w="10" w:type="dxa"/>
              <w:left w:w="20" w:type="dxa"/>
              <w:bottom w:w="10" w:type="dxa"/>
              <w:right w:w="20" w:type="dxa"/>
            </w:tcMar>
            <w:vAlign w:val="center"/>
          </w:tcPr>
          <w:p w:rsidR="003E6F92" w:rsidRDefault="00B0150D">
            <w:pPr>
              <w:keepNext/>
              <w:jc w:val="center"/>
              <w:rPr>
                <w:sz w:val="16"/>
              </w:rPr>
            </w:pPr>
            <w:r>
              <w:rPr>
                <w:sz w:val="16"/>
              </w:rPr>
              <w:t xml:space="preserve">398</w:t>
            </w:r>
          </w:p>
        </w:tc>
        <w:tc>
          <w:tcPr>
            <w:tcW w:w="673" w:type="pct"/>
            <w:tcMar>
              <w:top w:w="10" w:type="dxa"/>
              <w:left w:w="20" w:type="dxa"/>
              <w:bottom w:w="10" w:type="dxa"/>
              <w:right w:w="20" w:type="dxa"/>
            </w:tcMar>
            <w:vAlign w:val="center"/>
          </w:tcPr>
          <w:p w:rsidR="003E6F92" w:rsidRDefault="00B0150D">
            <w:pPr>
              <w:keepNext/>
              <w:jc w:val="center"/>
              <w:rPr>
                <w:sz w:val="16"/>
              </w:rPr>
            </w:pPr>
            <w:r>
              <w:rPr>
                <w:sz w:val="16"/>
              </w:rPr>
              <w:t xml:space="preserve">192</w:t>
            </w:r>
          </w:p>
        </w:tc>
        <w:tc>
          <w:tcPr>
            <w:tcW w:w="665" w:type="pct"/>
            <w:tcMar>
              <w:top w:w="10" w:type="dxa"/>
              <w:left w:w="20" w:type="dxa"/>
              <w:bottom w:w="10" w:type="dxa"/>
              <w:right w:w="20" w:type="dxa"/>
            </w:tcMar>
            <w:vAlign w:val="center"/>
          </w:tcPr>
          <w:p w:rsidR="003E6F92" w:rsidRDefault="00B0150D">
            <w:pPr>
              <w:keepNext/>
              <w:jc w:val="center"/>
              <w:rPr>
                <w:sz w:val="16"/>
              </w:rPr>
            </w:pPr>
            <w:r>
              <w:rPr>
                <w:sz w:val="16"/>
              </w:rPr>
              <w:t xml:space="preserve">157</w:t>
            </w:r>
          </w:p>
        </w:tc>
      </w:tr>
    </w:tbl>
    <w:p w:rsidR="00332BC5" w:rsidRPr="00E61DEF" w:rsidRDefault="00EF6C3D" w:rsidP="00F076D7">
      <w:pPr>
        <w:pStyle w:val="figurecaption0"/>
        <w:keepNext/>
        <w:spacing w:before="80" w:after="40"/>
      </w:pP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r>
        <w:rPr>
          <w:i/>
        </w:rPr>
      </w:r>
      <w:r/>
      <w:r>
        <w:rPr>
          <w:i/>
        </w:rPr>
      </w:r>
      <w:r>
        <w:rPr>
          <w:vertAlign w:val="subscript"/>
        </w:rPr>
      </w:r>
      <w:r/>
      <w:r>
        <w:rPr>
          <w:i/>
        </w:rPr>
      </w:r>
      <w:r>
        <w:rPr>
          <w:vertAlign w:val="subscript"/>
        </w:rPr>
      </w:r>
      <w:r/>
      <w:r>
        <w:rPr>
          <w:i/>
        </w:rPr>
      </w:r>
      <w:r/>
    </w:p>
    <w:p w:rsidR="00332BC5" w:rsidRPr="00E61DEF" w:rsidRDefault="00EF6C3D" w:rsidP="00F076D7">
      <w:pPr>
        <w:pStyle w:val="figurecaption0"/>
        <w:keepNext/>
        <w:spacing w:before="80" w:after="40"/>
      </w:pPr>
      <w:r>
        <w:rPr>
          <w:color w:val="auto"/>
        </w:rPr>
        <w:t xml:space="preserve">Table A5. Size-matched gap G (9) and its learner-cluster 95% interval by unique partition (ASSISTments 2012, primary protocol; B = 2,000, inner draws 200). Fold 0 is the primary uncertainty analysis. The other intervals are supplementary, use a generator seeded [20261021, f] for the first fold f of the partition, and are not combined into one significance claim. For folds 2–3, each replicate resamples the shared learners once and averages G over the two runs. The mean ± SD rows reproduce Table 5.</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8"/>
        <w:gridCol w:w="1627"/>
        <w:gridCol w:w="1356"/>
        <w:gridCol w:w="1356"/>
        <w:gridCol w:w="2169"/>
        <w:gridCol w:w="1627"/>
      </w:tblGrid>
      <w:tr w:rsidR="003E6F92">
        <w:trPr>
          <w:cantSplit/>
          <w:tblHeader/>
          <w:jc w:val="center"/>
        </w:trPr>
        <w:tc>
          <w:tcPr>
            <w:tcW w:w="1898" w:type="dxa"/>
            <w:tcMar>
              <w:top w:w="10" w:type="dxa"/>
              <w:left w:w="20" w:type="dxa"/>
              <w:bottom w:w="10" w:type="dxa"/>
              <w:right w:w="20" w:type="dxa"/>
            </w:tcMar>
            <w:vAlign w:val="center"/>
          </w:tcPr>
          <w:p w:rsidR="003E6F92" w:rsidRDefault="00B0150D">
            <w:pPr>
              <w:keepNext/>
              <w:jc w:val="center"/>
              <w:rPr>
                <w:b/>
                <w:sz w:val="16"/>
              </w:rPr>
            </w:pPr>
            <w:r>
              <w:rPr>
                <w:b/>
                <w:sz w:val="16"/>
              </w:rPr>
              <w:t xml:space="preserve">Model</w:t>
            </w:r>
          </w:p>
        </w:tc>
        <w:tc>
          <w:tcPr>
            <w:tcW w:w="1627" w:type="dxa"/>
            <w:tcMar>
              <w:top w:w="10" w:type="dxa"/>
              <w:left w:w="20" w:type="dxa"/>
              <w:bottom w:w="10" w:type="dxa"/>
              <w:right w:w="20" w:type="dxa"/>
            </w:tcMar>
            <w:vAlign w:val="center"/>
          </w:tcPr>
          <w:p w:rsidR="003E6F92" w:rsidRDefault="00B0150D">
            <w:pPr>
              <w:keepNext/>
              <w:jc w:val="center"/>
              <w:rPr>
                <w:b/>
                <w:sz w:val="16"/>
              </w:rPr>
            </w:pPr>
            <w:r>
              <w:rPr>
                <w:b/>
                <w:sz w:val="16"/>
              </w:rPr>
              <w:t xml:space="preserve">Partition</w:t>
            </w:r>
          </w:p>
        </w:tc>
        <w:tc>
          <w:tcPr>
            <w:tcW w:w="1356" w:type="dxa"/>
            <w:tcMar>
              <w:top w:w="10" w:type="dxa"/>
              <w:left w:w="20" w:type="dxa"/>
              <w:bottom w:w="10" w:type="dxa"/>
              <w:right w:w="20" w:type="dxa"/>
            </w:tcMar>
            <w:vAlign w:val="center"/>
          </w:tcPr>
          <w:p w:rsidR="003E6F92" w:rsidRDefault="00B0150D">
            <w:pPr>
              <w:keepNext/>
              <w:jc w:val="center"/>
              <w:rPr>
                <w:b/>
                <w:sz w:val="16"/>
              </w:rPr>
            </w:pPr>
            <w:r>
              <w:rPr>
                <w:b/>
                <w:sz w:val="16"/>
              </w:rPr>
              <w:t xml:space="preserve">N sparse</w:t>
            </w:r>
          </w:p>
        </w:tc>
        <w:tc>
          <w:tcPr>
            <w:tcW w:w="1356" w:type="dxa"/>
            <w:tcMar>
              <w:top w:w="10" w:type="dxa"/>
              <w:left w:w="20" w:type="dxa"/>
              <w:bottom w:w="10" w:type="dxa"/>
              <w:right w:w="20" w:type="dxa"/>
            </w:tcMar>
            <w:vAlign w:val="center"/>
          </w:tcPr>
          <w:p w:rsidR="003E6F92" w:rsidRDefault="00B0150D">
            <w:pPr>
              <w:keepNext/>
              <w:jc w:val="center"/>
              <w:rPr>
                <w:b/>
                <w:sz w:val="16"/>
              </w:rPr>
            </w:pPr>
            <w:r>
              <w:rPr>
                <w:b/>
                <w:sz w:val="16"/>
              </w:rPr>
              <w:t xml:space="preserve">G</w:t>
            </w:r>
          </w:p>
        </w:tc>
        <w:tc>
          <w:tcPr>
            <w:tcW w:w="2169" w:type="dxa"/>
            <w:tcMar>
              <w:top w:w="10" w:type="dxa"/>
              <w:left w:w="20" w:type="dxa"/>
              <w:bottom w:w="10" w:type="dxa"/>
              <w:right w:w="20" w:type="dxa"/>
            </w:tcMar>
            <w:vAlign w:val="center"/>
          </w:tcPr>
          <w:p w:rsidR="003E6F92" w:rsidRDefault="00B0150D">
            <w:pPr>
              <w:keepNext/>
              <w:jc w:val="center"/>
              <w:rPr>
                <w:b/>
                <w:sz w:val="16"/>
              </w:rPr>
            </w:pPr>
            <w:r>
              <w:rPr>
                <w:b/>
                <w:sz w:val="16"/>
              </w:rPr>
              <w:t xml:space="preserve">95% interval</w:t>
            </w:r>
          </w:p>
        </w:tc>
        <w:tc>
          <w:tcPr>
            <w:tcW w:w="1627" w:type="dxa"/>
            <w:tcMar>
              <w:top w:w="10" w:type="dxa"/>
              <w:left w:w="20" w:type="dxa"/>
              <w:bottom w:w="10" w:type="dxa"/>
              <w:right w:w="20" w:type="dxa"/>
            </w:tcMar>
            <w:vAlign w:val="center"/>
          </w:tcPr>
          <w:p w:rsidR="003E6F92" w:rsidRDefault="00B0150D">
            <w:pPr>
              <w:keepNext/>
              <w:jc w:val="center"/>
              <w:rPr>
                <w:b/>
                <w:sz w:val="16"/>
              </w:rPr>
            </w:pPr>
            <w:r>
              <w:rPr>
                <w:b/>
                <w:sz w:val="16"/>
              </w:rPr>
              <w:t xml:space="preserve">Role</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0</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430</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0.0351</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0.0170 to 0.0821</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Primary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1</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423</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0.0546</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0.0331 to 0.1040</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folds 2–3</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386</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0.0406</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0.0256 to 0.0889</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4</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352</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0.0295</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0.0089 to 0.0848</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DKT</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Mean ± SD</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0.0400 ± 0.0107</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Table 5</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0</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430</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0.0365</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0.0233 to 0.0878</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Primary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1</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423</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0.0834</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0.0513 to 0.1439</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folds 2–3</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386</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0.0408</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0.0286 to 0.0907</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fold 4</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352</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0.0715</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0.0450 to 0.1251</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Supplementary</w:t>
            </w:r>
          </w:p>
        </w:tc>
      </w:tr>
      <w:tr w:rsidR="003E6F92">
        <w:trPr>
          <w:cantSplit/>
          <w:jc w:val="center"/>
        </w:trPr>
        <w:tc>
          <w:tcPr>
            <w:tcW w:w="1898" w:type="dxa"/>
            <w:tcMar>
              <w:top w:w="10" w:type="dxa"/>
              <w:left w:w="20" w:type="dxa"/>
              <w:bottom w:w="10" w:type="dxa"/>
              <w:right w:w="20" w:type="dxa"/>
            </w:tcMar>
            <w:vAlign w:val="center"/>
          </w:tcPr>
          <w:p w:rsidR="003E6F92" w:rsidRDefault="00B0150D">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Mean ± SD</w:t>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
            </w:r>
          </w:p>
        </w:tc>
        <w:tc>
          <w:tcPr>
            <w:tcW w:w="1356" w:type="dxa"/>
            <w:tcMar>
              <w:top w:w="10" w:type="dxa"/>
              <w:left w:w="20" w:type="dxa"/>
              <w:bottom w:w="10" w:type="dxa"/>
              <w:right w:w="20" w:type="dxa"/>
            </w:tcMar>
            <w:vAlign w:val="center"/>
          </w:tcPr>
          <w:p w:rsidR="003E6F92" w:rsidRDefault="00B0150D">
            <w:pPr>
              <w:keepNext/>
              <w:jc w:val="center"/>
              <w:rPr>
                <w:sz w:val="16"/>
              </w:rPr>
            </w:pPr>
            <w:r>
              <w:rPr>
                <w:sz w:val="16"/>
              </w:rPr>
              <w:t xml:space="preserve">0.0581 ± 0.0230</w:t>
            </w:r>
          </w:p>
        </w:tc>
        <w:tc>
          <w:tcPr>
            <w:tcW w:w="2169" w:type="dxa"/>
            <w:tcMar>
              <w:top w:w="10" w:type="dxa"/>
              <w:left w:w="20" w:type="dxa"/>
              <w:bottom w:w="10" w:type="dxa"/>
              <w:right w:w="20" w:type="dxa"/>
            </w:tcMar>
            <w:vAlign w:val="center"/>
          </w:tcPr>
          <w:p w:rsidR="003E6F92" w:rsidRDefault="00B0150D">
            <w:pPr>
              <w:keepNext/>
              <w:jc w:val="center"/>
              <w:rPr>
                <w:sz w:val="16"/>
              </w:rPr>
            </w:pPr>
            <w:r>
              <w:rPr>
                <w:sz w:val="16"/>
              </w:rPr>
              <w:t xml:space="preserve"/>
            </w:r>
          </w:p>
        </w:tc>
        <w:tc>
          <w:tcPr>
            <w:tcW w:w="1627" w:type="dxa"/>
            <w:tcMar>
              <w:top w:w="10" w:type="dxa"/>
              <w:left w:w="20" w:type="dxa"/>
              <w:bottom w:w="10" w:type="dxa"/>
              <w:right w:w="20" w:type="dxa"/>
            </w:tcMar>
            <w:vAlign w:val="center"/>
          </w:tcPr>
          <w:p w:rsidR="003E6F92" w:rsidRDefault="00B0150D">
            <w:pPr>
              <w:keepNext/>
              <w:jc w:val="center"/>
              <w:rPr>
                <w:sz w:val="16"/>
              </w:rPr>
            </w:pPr>
            <w:r>
              <w:rPr>
                <w:sz w:val="16"/>
              </w:rPr>
              <w:t xml:space="preserve">Table 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Hung Yen University of Technology and Engineering,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rPr>
          <w:color w:val="auto"/>
        </w:rPr>
        <w:t xml:space="preserve">Artifact v4 contains the code snapshot at commit 4ff6683, the configuration files from that commit, the five learner-partition seeds and the bootstrap seed, the per-run training logs, the DKT token-0 log, and the masked T-KT log for unit tests UT-A1 through UT-A7. It also contains the prediction exports for folds 0-4 of ASSISTments DKT on the four Table A2 cells, ASSISTments T-KT masked, ASSISTments simpleKT, and Junyi DKT, and the per-partition base-rate constants used in Table A1. From an extracted copy, one command recomputes the supported cells of Tables 4, 5, A1, A2, A3, A4, and A5, the size-matched gaps, and the fold-0 intervals from those exports without retraining; a second command recomputes the supplementary intervals of Table A5. The published gap uses a second random sample of exactly N rows. The size-match function inside the 4ff6683 snapshot keeps a prefix and does not reproduce that gap. The XES3G5M audit files cited in Sections III.A and IV.B are included. The artifact does not contain the raw datasets or the processed split files (Tables 6 and 7 are included as recorded outputs), the per-partition records of checks L1–L7 behind Table 3 (only the runner code is included), the model weights, the prediction exports of one additional run (labelled fold 5 in the artifact, added after the analysis plan; its training logs are included) that this paper does not report, the slide-window exports, Junyi simpleKT, XES3G5M predictions, or unmasked T-KT. XES3G5M stays not evaluated, and retraining is not supported. The artifact is available from the corresponding author on request, and a public repository will be released upon acceptance.</w:t>
      </w:r>
      <w:r>
        <w:lastRenderedPageBreak/>
        <w:t/>
      </w:r>
    </w:p>
    <w:p w:rsidR="00F81442" w:rsidRDefault="005D642D" w:rsidP="00833477">
      <w:pPr>
        <w:pStyle w:val="ReferenceHead"/>
      </w:pPr>
      <w:r>
        <w:t>Generative AI Statement</w:t>
      </w:r>
    </w:p>
    <w:p w:rsidR="00F81442" w:rsidRDefault="00F81442" w:rsidP="00607E6B">
      <w:pPr>
        <w:pStyle w:val="Text"/>
        <w:spacing w:line="252" w:lineRule="exact"/>
      </w:pPr>
      <w:r>
        <w:rPr>
          <w:color w:val="auto"/>
        </w:rPr>
        <w:t xml:space="preserve">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and Claude Sonnet 5.5 inside Cursor) to review the manuscript and the analysis code, to draft structural and language revisions, and, in the final revision, to write and run scripts that recompute the reported tables from the prediction files. No AI tool trained a model or changed a prediction file. The authors checked every AI-assisted passage, script, and recomputed value against the underlying code and prediction files,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This work received no specific funding. It is not part of any research grant or funded project.</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 xml:space="preserve">H. Nakagawa, Y. Iwasawa, and Y. Matsuo, “Graph-Based Knowledge Tracing: Modeling Student Proficiency Using Graph Neural Network,” </w:t>
      </w:r>
      <w:r w:rsidRPr="00180489">
        <w:rPr>
          <w:noProof/>
        </w:rPr>
        <w:lastRenderedPageBreak/>
        <w:t>in Proc. IEEE/WIC/ACM Int. Conf. Web Intell., 2019, pp. 156–163. doi: 10.1145/3350546.3352513</w:t>
      </w:r>
    </w:p>
    <w:p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color w:val="auto"/>
        </w:rPr>
        <w:t xml:space="preserve">X. Yan, C. Tang, and A. Shimada, “Recovering Stranded Discrimination in Knowledge Tracing: Per-Item Bias Correction via Empirical-Bayes Shrinkage,” in Machine Learning and Knowledge Discovery in Databases. Research Track (ECML PKDD), Lecture Notes in Computer Science, vol. 16946. Springer Nature Switzerland, 2027, pp. 586–602. doi: 10.1007/978-3-032-37673-2_33</w:t>
      </w:r>
      <w:r>
        <w:rPr>
          <w:noProof/>
          <w:color w:val="auto"/>
        </w:rPr>
        <w:t/>
      </w:r>
      <w:r>
        <w:rPr>
          <w:noProof/>
        </w:rPr>
        <w:t xml:space="preserve"/>
      </w:r>
      <w:r>
        <w:rPr>
          <w:noProof/>
          <w:color w:val="auto"/>
        </w:rPr>
        <w:t/>
      </w:r>
      <w:r>
        <w:rPr>
          <w:noProof/>
        </w:rPr>
        <w:t xml:space="preserve"/>
      </w:r>
      <w:r>
        <w:rPr>
          <w:noProof/>
          <w:color w:val="auto"/>
        </w:rPr>
        <w:t/>
      </w:r>
      <w:r>
        <w:rPr>
          <w:noProof/>
        </w:rPr>
        <w:t xml:space="preserve"/>
      </w:r>
      <w:r>
        <w:rPr>
          <w:noProof/>
          <w:color w:val="auto"/>
        </w:rPr>
        <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color w:val="auto"/>
        </w:rPr>
        <w:t>P.</w:t>
      </w:r>
      <w:r>
        <w:rPr>
          <w:noProof/>
        </w:rPr>
        <w:t xml:space="preserve"> </w:t>
      </w:r>
      <w:r>
        <w:rPr>
          <w:noProof/>
          <w:color w:val="auto"/>
        </w:rPr>
        <w:t>J.</w:t>
      </w:r>
      <w:r>
        <w:rPr>
          <w:noProof/>
        </w:rPr>
        <w:t xml:space="preserve"> </w:t>
      </w:r>
      <w:r>
        <w:rPr>
          <w:noProof/>
          <w:color w:val="auto"/>
        </w:rPr>
        <w:t>Chen,</w:t>
      </w:r>
      <w:r>
        <w:rPr>
          <w:noProof/>
        </w:rPr>
        <w:t xml:space="preserve"> </w:t>
      </w:r>
      <w:r>
        <w:rPr>
          <w:noProof/>
          <w:color w:val="auto"/>
        </w:rPr>
        <w:t>M.</w:t>
      </w:r>
      <w:r>
        <w:rPr>
          <w:noProof/>
        </w:rPr>
        <w:t xml:space="preserve"> </w:t>
      </w:r>
      <w:r>
        <w:rPr>
          <w:noProof/>
          <w:color w:val="auto"/>
        </w:rPr>
        <w:t>E.</w:t>
      </w:r>
      <w:r>
        <w:rPr>
          <w:noProof/>
        </w:rPr>
        <w:t xml:space="preserve"> </w:t>
      </w:r>
      <w:r>
        <w:rPr>
          <w:noProof/>
          <w:color w:val="auto"/>
        </w:rPr>
        <w:t>Hsieh,</w:t>
      </w:r>
      <w:r>
        <w:rPr>
          <w:noProof/>
        </w:rPr>
        <w:t xml:space="preserve"> </w:t>
      </w:r>
      <w:r>
        <w:rPr>
          <w:noProof/>
          <w:color w:val="auto"/>
        </w:rPr>
        <w:t>and</w:t>
      </w:r>
      <w:r>
        <w:rPr>
          <w:noProof/>
        </w:rPr>
        <w:t xml:space="preserve"> </w:t>
      </w:r>
      <w:r>
        <w:rPr>
          <w:noProof/>
          <w:color w:val="auto"/>
        </w:rPr>
        <w:t>T.</w:t>
      </w:r>
      <w:r>
        <w:rPr>
          <w:noProof/>
        </w:rPr>
        <w:t xml:space="preserve"> </w:t>
      </w:r>
      <w:r>
        <w:rPr>
          <w:noProof/>
          <w:color w:val="auto"/>
        </w:rPr>
        <w:t>Y.</w:t>
      </w:r>
      <w:r>
        <w:rPr>
          <w:noProof/>
        </w:rPr>
        <w:t xml:space="preserve"> </w:t>
      </w:r>
      <w:r>
        <w:rPr>
          <w:noProof/>
          <w:color w:val="auto"/>
        </w:rPr>
        <w:t>Tsai,</w:t>
      </w:r>
      <w:r>
        <w:rPr>
          <w:noProof/>
          <w:color w:val="auto"/>
        </w:rPr>
        <w:t xml:space="preserve"> “Junyi Academy Online Learning Activity Dataset: A large-scale public online learning activity dataset from elementary to senior high school students,” Kaggle, 2020. [Online]. Available: https://www.kaggle.com/datasets/junyiacademy/learning-activity-public-dataset-by-junyi-academy. Accessed: Oct. 30,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pPr>
        <w:pStyle w:val="FigureCaption"/>
        <w:overflowPunct w:val="0"/>
      </w:pPr>
      <w:r>
        <w:rPr>
          <w:color w:val="auto"/>
        </w:rPr>
        <w:t xml:space="preserve">Copyright © 2026 by the authors. This is an open access article distributed under the Creative Commons Attribution License which permits unrestricted use, distribution, and reproduction in any medium, provided the original work is properly cited (</w:t>
      </w:r>
      <w:hyperlink r:id="rIdCCBY40" w:history="1">
        <w:r>
          <w:rPr>
            <w:color w:val="auto"/>
          </w:rPr>
          <w:t xml:space="preserve">CC BY 4.0</w:t>
        </w:r>
      </w:hyperlink>
      <w:r>
        <w:rPr>
          <w:color w:val="auto"/>
        </w:rPr>
        <w:t xml:space="preserve">).</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50D" w:rsidRDefault="00B0150D">
      <w:r>
        <w:separator/>
      </w:r>
    </w:p>
  </w:endnote>
  <w:endnote w:type="continuationSeparator" w:id="0">
    <w:p w:rsidR="00B0150D" w:rsidRDefault="00B0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50D" w:rsidRDefault="00B0150D"/>
  </w:footnote>
  <w:footnote w:type="continuationSeparator" w:id="0">
    <w:p w:rsidR="00B0150D" w:rsidRDefault="00B015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E6F92"/>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3D6E"/>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50D"/>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 Id="rId32" Type="http://schemas.openxmlformats.org/officeDocument/2006/relationships/footer" Target="footer10.xml"/><Relationship Id="rIdCCBY4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7F76A-9789-4481-9A7A-029E33BDD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8608</Words>
  <Characters>49069</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57562</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Evaluating Knowledge Tracing on Rarely Practiced Knowledge Components</dc:title>
  <dc:subject/>
  <dc:creator/>
  <cp:keywords/>
  <dc:description/>
  <cp:lastModifiedBy/>
  <cp:revision>6</cp:revision>
  <dcterms:created xsi:type="dcterms:W3CDTF">2026-09-26T06:32:00Z</dcterms:created>
  <dcterms:modified xsi:type="dcterms:W3CDTF">2026-10-20T23:37:00Z</dcterms:modified>
  <cp:category/>
  <dc:identifier/>
</cp:coreProperties>
</file>